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22a KredWG — Registerführendes Unternehmen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Ist das Refinanzierungsunternehmen ein Kreditinstitut oder eine in § 2 Absatz 1 Nummer 1, 2 oder 3a genannte Einrichtung und hat ein Unternehmen im Sinne des § 1 Absatz 24 Satz 1 Nummer 1 bis 6 einen Anspruch auf Übertragung einer Forderung des Refinanzierungsunternehmens oder eines Grundpfandrechts des Refinanzierungsunternehmens, das der Sicherung von Forderungen dient, können diese Gegenstände in ein vom Refinanzierungsunternehmen geführtes Refinanzierungsregister eingetragen werden; dies gilt entsprechend für Registerpfandrechte an einem Luftfahrzeug und für Schiffshypotheken. Für jede Refinanzierungstransaktion ist eine gesonderte Abteilung zu bilden.</w:t>
      </w:r>
    </w:p>
    <w:p>
      <w:r>
        <w:t xml:space="preserve">(1a) Absatz 1 gilt entsprechend, wenn die Forderungen und Grundpfandrechte treuhänderisch von dem Refinanzierungsunternehmen verwaltet werden.</w:t>
      </w:r>
    </w:p>
    <w:p>
      <w:r>
        <w:t xml:space="preserve">(2) Eine Pflicht des Refinanzierungsunternehmens oder des Refinanzierungsmittlers zur Führung eines Refinanzierungsregisters wird durch diesen Unterabschnitt nicht begründet. Die Registerführung kann nur unter den Voraussetzungen des § 22k oder des § 22b Absatz 2 Satz 3 beendet oder übertragen werden.</w:t>
      </w:r>
    </w:p>
    <w:p>
      <w:r>
        <w:t xml:space="preserve">(3) Eine Auslagerung der Registerführung ist nicht statthaft.</w:t>
      </w:r>
    </w:p>
    <w:p>
      <w:r>
        <w:t xml:space="preserve">(4) Die Absätze 1 bis 3 gelten sinngemäß für Refinanzierungsmittler, die Kreditinstitut oder eine in § 2 Absatz 1 Nummer 1, 2 oder 3a genannte Einrichtung sind.</w:t>
      </w:r>
    </w:p>
    <w:p>
      <w:r>
        <w:rPr>
          <w:color w:val="555555"/>
          <w:sz w:val="17"/>
        </w:rPr>
        <w:t xml:space="preserve">Zitiervorschlag: § 22a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