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KredWG — Verordnungsermächtigung für Millionenkredite</w:t>
      </w:r>
    </w:p>
    <w:p>
      <w:r>
        <w:rPr>
          <w:color w:val="555555"/>
          <w:sz w:val="18"/>
        </w:rPr>
        <w:t xml:space="preserve">Kreditwesengesetz</w:t>
      </w:r>
    </w:p>
    <w:p>
      <w:r>
        <w:rPr>
          <w:color w:val="555555"/>
          <w:sz w:val="18"/>
        </w:rPr>
        <w:t xml:space="preserve">Stand: 10.06.2019 (konsolidierte Textfassung, kein amtliches Inkrafttretensdatum)</w:t>
      </w:r>
    </w:p>
    <w:p>
      <w:r>
        <w:t xml:space="preserve">Das Bundesministerium der Finanzen wird ermächtigt, durch Rechtsverordnung, die nicht der Zustimmung des Bundesrates bedarf, im Benehmen mit der Deutschen Bundesbank für Millionenkredite nähere Bestimmungen zu erlassen über</w:t>
      </w:r>
    </w:p>
    <w:p>
      <w:pPr>
        <w:ind w:left="420"/>
      </w:pPr>
      <w:r>
        <w:t xml:space="preserve">1. die Ermittlung der Kreditbeträge und Kreditnehmer,</w:t>
      </w:r>
    </w:p>
    <w:p>
      <w:pPr>
        <w:ind w:left="420"/>
      </w:pPr>
      <w:r>
        <w:t xml:space="preserve">2. die Ermittlung der Kreditäquivalenzbeträge von Derivaten sowie die Ermittlung von Pensions- und Leihgeschäften und von anderen mit diesen vergleichbaren Geschäften sowie der für diese Geschäfte übernommenen Gewährleistungen,</w:t>
      </w:r>
    </w:p>
    <w:p>
      <w:pPr>
        <w:ind w:left="420"/>
      </w:pPr>
      <w:r>
        <w:t xml:space="preserve">3. die Zurechnung von Krediten zu Kreditnehmern,</w:t>
      </w:r>
    </w:p>
    <w:p>
      <w:pPr>
        <w:ind w:left="420"/>
      </w:pPr>
      <w:r>
        <w:t xml:space="preserve">4. die Anzeigeinhalte, Anzeigefristen und den Beobachtungszeitraum nach § 14 Absatz 1 Satz 1,</w:t>
      </w:r>
    </w:p>
    <w:p>
      <w:pPr>
        <w:ind w:left="420"/>
      </w:pPr>
      <w:r>
        <w:t xml:space="preserve">5. weitere Angaben in der Benachrichtigung nach § 14 Absatz 2 Satz 2, soweit dies auf Grund von Informationen, die die Deutsche Bundesbank von ausländischen Evidenzzentralen erhalten hat, erforderlich ist,</w:t>
      </w:r>
    </w:p>
    <w:p>
      <w:pPr>
        <w:ind w:left="420"/>
      </w:pPr>
      <w:r>
        <w:t xml:space="preserve">6. Einzelheiten zu den Angaben in der Benachrichtigung nach § 14 Absatz 2 Satz 2, insbesondere zu den Voraussetzungen und den Inhalten der Rückmeldungen der Informationen über prognostizierte Ausfallwahrscheinlichkeiten, sowie die Aufgliederung dieser Benachrichtigung nach § 14 Absatz 2 Satz 3 und</w:t>
      </w:r>
    </w:p>
    <w:p>
      <w:pPr>
        <w:ind w:left="420"/>
      </w:pPr>
      <w:r>
        <w:t xml:space="preserve">7. Einzelheiten des Verfahrens der elektronischen Datenübertragung nach § 14 Absatz 2 Satz 6.</w:t>
      </w:r>
    </w:p>
    <w:p>
      <w:r>
        <w:t xml:space="preserve">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anzuhören.</w:t>
      </w:r>
    </w:p>
    <w:p>
      <w:r>
        <w:rPr>
          <w:color w:val="555555"/>
          <w:sz w:val="17"/>
        </w:rPr>
        <w:t xml:space="preserve">Zitiervorschlag: § 22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