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KredWG — Begriff des Kredits für die §§ 15 bis 18</w:t>
      </w:r>
    </w:p>
    <w:p>
      <w:r>
        <w:rPr>
          <w:color w:val="555555"/>
          <w:sz w:val="18"/>
        </w:rPr>
        <w:t xml:space="preserve">Kreditwesengesetz</w:t>
      </w:r>
    </w:p>
    <w:p>
      <w:r>
        <w:rPr>
          <w:color w:val="555555"/>
          <w:sz w:val="18"/>
        </w:rPr>
        <w:t xml:space="preserve">Stand: 10.06.2019 (konsolidierte Textfassung, kein amtliches Inkrafttretensdatum)</w:t>
      </w:r>
    </w:p>
    <w:p>
      <w:r>
        <w:t xml:space="preserve">(1) Kredite im Sinne der §§ 15 bis 18 sind</w:t>
      </w:r>
    </w:p>
    <w:p>
      <w:pPr>
        <w:ind w:left="420"/>
      </w:pPr>
      <w:r>
        <w:t xml:space="preserve">1. Gelddarlehen aller Art, entgeltlich erworbene Geldforderungen, Akzeptkredite sowie Forderungen aus Namensschuldverschreibungen mit Ausnahme der auf den Namen lautenden Pfandbriefe und Kommunalschuldverschreibungen;</w:t>
      </w:r>
    </w:p>
    <w:p>
      <w:pPr>
        <w:ind w:left="420"/>
      </w:pPr>
      <w:r>
        <w:t xml:space="preserve">2. die Diskontierung von Wechseln und Schecks;</w:t>
      </w:r>
    </w:p>
    <w:p>
      <w:pPr>
        <w:ind w:left="420"/>
      </w:pPr>
      <w:r>
        <w:t xml:space="preserve">3. Geldforderungen aus sonstigen Handelsgeschäften eines Instituts, ausgenommen die Forderungen aus Warengeschäften der Kreditgenossenschaften, sofern diese nicht über die handelsübliche Frist hinaus gestundet werden;</w:t>
      </w:r>
    </w:p>
    <w:p>
      <w:pPr>
        <w:ind w:left="420"/>
      </w:pPr>
      <w:r>
        <w:t xml:space="preserve">4. Bürgschaften, Garantien und sonstige Gewährleistungen eines Instituts sowie die Haftung eines Instituts aus der Bestellung von Sicherheiten für fremde Verbindlichkeiten;</w:t>
      </w:r>
    </w:p>
    <w:p>
      <w:pPr>
        <w:ind w:left="420"/>
      </w:pPr>
      <w:r>
        <w:t xml:space="preserve">5. die Verpflichtung, für die Erfüllung entgeltlich übertragener Geldforderungen einzustehen oder sie auf Verlangen des Erwerbers zurückzuerwerben;</w:t>
      </w:r>
    </w:p>
    <w:p>
      <w:pPr>
        <w:ind w:left="420"/>
      </w:pPr>
      <w:r>
        <w:t xml:space="preserve">6. der Besitz eines Instituts an Aktien oder Geschäftsanteilen eines anderen Unternehmens, der mindestens ein Viertel des Kapitals (Nennkapital, Summe der Kapitalanteile) des Beteiligungsunternehmens erreicht, ohne daß es auf die Dauer des Besitzes ankommt;</w:t>
      </w:r>
    </w:p>
    <w:p>
      <w:pPr>
        <w:ind w:left="420"/>
      </w:pPr>
      <w:r>
        <w:t xml:space="preserve">7. Gegenstände, über die ein Institut als Leasinggeber Leasingverträge abgeschlossen hat, abzüglich bis zum Buchwert des ihm zugehörigen Leasinggegenstandes solcher Posten, die wegen der Erfüllung oder der Veräußerung von Forderungen aus diesen Leasingverträgen gebildet werden.</w:t>
      </w:r>
    </w:p>
    <w:p>
      <w:r>
        <w:t xml:space="preserve">Zugunsten des Instituts bestehende Sicherheiten sowie Guthaben des Kreditnehmers bei dem Institut bleiben außer Betracht.</w:t>
      </w:r>
    </w:p>
    <w:p>
      <w:r>
        <w:t xml:space="preserve">(2) Als Kredite im Sinne der §§ 15 bis 18 gelten nicht</w:t>
      </w:r>
    </w:p>
    <w:p>
      <w:pPr>
        <w:ind w:left="420"/>
      </w:pPr>
      <w:r>
        <w:t xml:space="preserve">1. Kredite an den Bund, ein rechtlich unselbständiges Sondervermögen des Bundes oder eines Landes, ein Land, eine Gemeinde oder einen Gemeindeverband;</w:t>
      </w:r>
    </w:p>
    <w:p>
      <w:pPr>
        <w:ind w:left="420"/>
      </w:pPr>
      <w:r>
        <w:t xml:space="preserve">2. ungesicherte Forderungen an andere Institute aus bei diesen unterhaltenen, nur der Geldanlage dienenden Guthaben, die spätestens in drei Monaten fällig sind; Forderungen eingetragener Genossenschaften an ihre Zentralbanken, von Sparkassen an ihre Girozentralen sowie von Zentralbanken und Girozentralen an ihre Zentralkreditinstitute können später fällig gestellt sein;</w:t>
      </w:r>
    </w:p>
    <w:p>
      <w:pPr>
        <w:ind w:left="420"/>
      </w:pPr>
      <w:r>
        <w:t xml:space="preserve">3. von anderen Instituten angekaufte Wechsel, die von einem Institut angenommen, indossiert oder als eigene Wechsel ausgestellt sind, eine Laufzeit von höchstens drei Monaten haben und am Geldmarkt üblicherweise gehandelt werden;</w:t>
      </w:r>
    </w:p>
    <w:p>
      <w:pPr>
        <w:ind w:left="420"/>
      </w:pPr>
      <w:r>
        <w:t xml:space="preserve">4. abgeschriebene Kredite.</w:t>
      </w:r>
    </w:p>
    <w:p>
      <w:r>
        <w:t xml:space="preserve">(3) § 15 Abs. 1 Satz 1 Nr. 6 bis 11 und § 18 gelten nicht für</w:t>
      </w:r>
    </w:p>
    <w:p>
      <w:pPr>
        <w:ind w:left="420"/>
      </w:pPr>
      <w:r>
        <w:t xml:space="preserve">1. Kredite, soweit sie den Erfordernissen des § 14 und des § 16 Abs. 1 und 2 des Pfandbriefgesetzes entsprechen (Realkredite);</w:t>
      </w:r>
    </w:p>
    <w:p>
      <w:pPr>
        <w:ind w:left="420"/>
      </w:pPr>
      <w:r>
        <w:t xml:space="preserve">2. Kredite mit Laufzeiten von höchstens 15 Jahren gegen Bestellung von Schiffshypotheken, soweit sie den Erfordernissen des § 22 Abs. 1, 2 Satz 1 und Abs. 5 Satz 3, des § 23 Abs. 1 und 4 sowie des § 24 Abs. 2 in Verbindung mit Abs. 3 des Pfandbriefgesetzes entsprechen;</w:t>
      </w:r>
    </w:p>
    <w:p>
      <w:pPr>
        <w:ind w:left="420"/>
      </w:pPr>
      <w:r>
        <w:t xml:space="preserve">3. Kredite an eine inländische juristische Person des öffentlichen Rechts, die nicht in Absatz 2 Nr. 1 genannt ist, die Europäische Union, die Europäische Atomgemeinschaft oder die Europäische Investitionsbank;</w:t>
      </w:r>
    </w:p>
    <w:p>
      <w:pPr>
        <w:ind w:left="420"/>
      </w:pPr>
      <w:r>
        <w:t xml:space="preserve">4. Kredite, soweit sie vom Bund, einem Sondervermögen des Bundes, einem Land, einer Gemeinde oder einem Gemeindeverband verbürgt oder in anderer Weise gesichert sind (öffentlich verbürgte Kredite).</w:t>
      </w:r>
    </w:p>
    <w:p>
      <w:r>
        <w:t xml:space="preserve">(4) Als Kredite im Sinne des § 18 gelten nicht</w:t>
      </w:r>
    </w:p>
    <w:p>
      <w:pPr>
        <w:ind w:left="420"/>
      </w:pPr>
      <w:r>
        <w:t xml:space="preserve">1. Kredite auf Grund des entgeltlichen Erwerbs einer Forderung aus nicht bankmäßigen Handelsgeschäften, wenn</w:t>
      </w:r>
    </w:p>
    <w:p>
      <w:pPr>
        <w:ind w:left="780"/>
      </w:pPr>
      <w:r>
        <w:t xml:space="preserve">a) Forderungen aus nicht bankmäßigen Handelsgeschäften gegen den jeweiligen Schuldner laufend erworben werden,</w:t>
      </w:r>
    </w:p>
    <w:p>
      <w:pPr>
        <w:ind w:left="780"/>
      </w:pPr>
      <w:r>
        <w:t xml:space="preserve">b) der Veräußerer der Forderung nicht für deren Erfüllung einzustehen hat und</w:t>
      </w:r>
    </w:p>
    <w:p>
      <w:pPr>
        <w:ind w:left="780"/>
      </w:pPr>
      <w:r>
        <w:t xml:space="preserve">c) die Forderung innerhalb von drei Monaten, vom Tage des Ankaufs an gerechnet, fällig ist;</w:t>
      </w:r>
    </w:p>
    <w:p>
      <w:pPr>
        <w:ind w:left="420"/>
      </w:pPr>
      <w:r>
        <w:t xml:space="preserve">2. Kredite, soweit sie gedeckt sind durch Sicherheiten in Form von</w:t>
      </w:r>
    </w:p>
    <w:p>
      <w:pPr>
        <w:ind w:left="780"/>
      </w:pPr>
      <w:r>
        <w:t xml:space="preserve">a) Bareinlagen bei dem kreditgewährenden Institut oder bei einem Drittinstitut, das Mutter- oder Tochterunternehmen des kreditgewährenden Instituts ist, oder Barmitteln, die das Institut im Rahmen der Emission einer Credit Linked Note erhält, oder</w:t>
      </w:r>
    </w:p>
    <w:p>
      <w:pPr>
        <w:ind w:left="780"/>
      </w:pPr>
      <w:r>
        <w:t xml:space="preserve">b) Einlagenzertifikaten oder ähnlichen Papieren, die von dem kreditgewährenden Institut oder einem Drittinstitut, das Mutter- oder Tochterunternehmen des kreditgewährenden Instituts ist, ausgegeben wurden und bei diesen hinterlegt sind und die näheren Bestimmungen der Artikel 192 bis 241 der Verordnung (EU) Nr. 575/2013 zur Kreditrisikominderung erfüllt werden.</w:t>
      </w:r>
    </w:p>
    <w:p>
      <w:r>
        <w:rPr>
          <w:color w:val="555555"/>
          <w:sz w:val="17"/>
        </w:rPr>
        <w:t xml:space="preserve">Zitiervorschlag: § 21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