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KredWG — Ausnahmen von den Verpflichtungen nach § 14</w:t>
      </w:r>
    </w:p>
    <w:p>
      <w:r>
        <w:rPr>
          <w:color w:val="555555"/>
          <w:sz w:val="18"/>
        </w:rPr>
        <w:t xml:space="preserve">Kreditwesengesetz</w:t>
      </w:r>
    </w:p>
    <w:p>
      <w:r>
        <w:rPr>
          <w:color w:val="555555"/>
          <w:sz w:val="18"/>
        </w:rPr>
        <w:t xml:space="preserve">Stand: 10.06.2019 (konsolidierte Textfassung, kein amtliches Inkrafttretensdatum)</w:t>
      </w:r>
    </w:p>
    <w:p>
      <w:r>
        <w:t xml:space="preserve">Als Kredite im Sinne des § 14 gelten nicht:</w:t>
      </w:r>
    </w:p>
    <w:p>
      <w:pPr>
        <w:ind w:left="420"/>
      </w:pPr>
      <w:r>
        <w:t xml:space="preserve">1. Kredite bei Wechselkursgeschäften, die im Rahmen des üblichen Abrechnungsverfahrens innerhalb von zwei Geschäftstagen ab Vorleistung abgewickelt werden,</w:t>
      </w:r>
    </w:p>
    <w:p>
      <w:pPr>
        <w:ind w:left="420"/>
      </w:pPr>
      <w:r>
        <w:t xml:space="preserve">2. Kredite bei Wertpapiergeschäften, die im Rahmen des üblichen Abrechnungsverfahrens innerhalb von fünf Geschäftstagen ab Vorleistung abgewickelt werden,</w:t>
      </w:r>
    </w:p>
    <w:p>
      <w:pPr>
        <w:ind w:left="420"/>
      </w:pPr>
      <w:r>
        <w:t xml:space="preserve">3. im Fall der Durchführung des Zahlungsverkehrs, einschließlich der Ausführung von Zahlungsdiensten, der Verrechnung und Abwicklung in jedweder Währung und des Korrespondenzbankgeschäfts, oder der Erbringung von Dienstleistungen für Kunden zur Verrechnung, Abwicklung und Verwahrung von Finanzinstrumenten, verspätete Zahlungseingänge bei Finanzierungen und andere Kredite im Kundengeschäft, die längstens bis zum folgenden Geschäftstag bestehen,</w:t>
      </w:r>
    </w:p>
    <w:p>
      <w:pPr>
        <w:ind w:left="420"/>
      </w:pPr>
      <w:r>
        <w:t xml:space="preserve">4. Geldsicherheiten, die im Kontext von Finanzmarktgeschäften für Kunden hinterlegt werden und deren vereinbarte Laufzeit oder Kündigungsfrist einen Geschäftstag nicht überschreitet,</w:t>
      </w:r>
    </w:p>
    <w:p>
      <w:pPr>
        <w:ind w:left="420"/>
      </w:pPr>
      <w:r>
        <w:t xml:space="preserve">5. Kredite, die im Fall der Durchführung des Zahlungsverkehrs, einschließlich der Ausführung von Zahlungsdiensten, der Verrechnung und Abwicklung in jedweder Währung und des Korrespondenzbankgeschäfts, an Institute vergeben werden, die diese Dienste erbringen, sofern die Kredite bis zum Geschäftsschluss zurückzuzahlen sind,</w:t>
      </w:r>
    </w:p>
    <w:p>
      <w:pPr>
        <w:ind w:left="420"/>
      </w:pPr>
      <w:r>
        <w:t xml:space="preserve">6. abgeschriebene Kredite und</w:t>
      </w:r>
    </w:p>
    <w:p>
      <w:pPr>
        <w:ind w:left="420"/>
      </w:pPr>
      <w:r>
        <w:t xml:space="preserve">7. Verfügungen über gutgeschriebene Beträge aus dem Lastschrifteinzugsverfahren, die mit dem Vermerk „Eingang vorbehalten“ versehen werden.</w:t>
      </w:r>
    </w:p>
    <w:p>
      <w:r>
        <w:rPr>
          <w:color w:val="555555"/>
          <w:sz w:val="17"/>
        </w:rPr>
        <w:t xml:space="preserve">Zitiervorschlag: § 20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