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KredWG — Ausnahmen</w:t>
      </w:r>
    </w:p>
    <w:p>
      <w:r>
        <w:rPr>
          <w:color w:val="555555"/>
          <w:sz w:val="18"/>
        </w:rPr>
        <w:t xml:space="preserve">Kreditwesengesetz</w:t>
      </w:r>
    </w:p>
    <w:p>
      <w:r>
        <w:rPr>
          <w:color w:val="555555"/>
          <w:sz w:val="18"/>
        </w:rPr>
        <w:t xml:space="preserve">Stand: 18.04.2026 (konsolidierte Textfassung, kein amtliches Inkrafttretensdatum)</w:t>
      </w:r>
    </w:p>
    <w:p>
      <w:r>
        <w:t xml:space="preserve">(1) Als Kreditinstitut gelten vorbehaltlich der Absätze 2 und 3 nicht</w:t>
      </w:r>
    </w:p>
    <w:p>
      <w:pPr>
        <w:ind w:left="420"/>
      </w:pPr>
      <w:r>
        <w:t xml:space="preserve">1. die Deutsche Bundesbank und die vergleichbaren Institutionen in den anderen Mitgliedstaaten der Europäischen Union, sofern sie Mitglieder des Europäischen Systems der Zentralbanken sind;</w:t>
      </w:r>
    </w:p>
    <w:p>
      <w:pPr>
        <w:ind w:left="420"/>
      </w:pPr>
      <w:r>
        <w:t xml:space="preserve">1a. andere Behörden in den anderen Staaten des Europäischen Wirtschaftsraums, soweit sie Zentralbankaufgaben wahrnehmen;</w:t>
      </w:r>
    </w:p>
    <w:p>
      <w:pPr>
        <w:ind w:left="420"/>
      </w:pPr>
      <w:r>
        <w:t xml:space="preserve">1b. von zwei oder mehr Mitgliedstaaten der Europäischen Union gegründete internationale Finanzinstitute, die dem Zweck dienen, Finanzmittel zu mobilisieren und seinen Mitgliedern Finanzhilfen zu gewähren, sofern diese von schwerwiegenden Finanzierungsproblemen betroffen oder bedroht sind;</w:t>
      </w:r>
    </w:p>
    <w:p>
      <w:pPr>
        <w:ind w:left="420"/>
      </w:pPr>
      <w:r>
        <w:t xml:space="preserve">2. die Kreditanstalt für Wiederaufbau;</w:t>
      </w:r>
    </w:p>
    <w:p>
      <w:pPr>
        <w:ind w:left="420"/>
      </w:pPr>
      <w:r>
        <w:t xml:space="preserve">2a. die vom Anwendungsbereich der Richtlinie 2013/36/EU ausgenommenen Institute anderer Mitgliedstaaten in Artikel 2 Absatz 5 Nummer 3 bis 4a sowie Nummer 6 bis 23 der Richtlinie 2013/36/EU in der Fassung vom 27. November 2024; diese gelten als Finanzunternehmen für die Zwecke des § 53b Absatz 7;</w:t>
      </w:r>
    </w:p>
    <w:p>
      <w:pPr>
        <w:ind w:left="420"/>
      </w:pPr>
      <w:r>
        <w:t xml:space="preserve">3. die Sozialversicherungsträger und die Bundesagentur für Arbeit;</w:t>
      </w:r>
    </w:p>
    <w:p>
      <w:pPr>
        <w:ind w:left="420"/>
      </w:pPr>
      <w:r>
        <w:t xml:space="preserve">3a. die öffentliche Schuldenverwaltung des Bundes oder eines Landes, eines ihrer Sondervermögen oder eines anderen Staates des Europäischen Wirtschaftsraums, sofern diese nicht fremde Gelder als Einlagen oder andere rückzahlbare Gelder des Publikums annimmt und das Kreditgeschäft betreibt;</w:t>
      </w:r>
    </w:p>
    <w:p>
      <w:pPr>
        <w:ind w:left="420"/>
      </w:pPr>
      <w:r>
        <w:t xml:space="preserve">3b. Kapitalverwaltungsgesellschaften und extern verwaltete Investmentgesellschaften, sofern sie als Bankgeschäfte nur die kollektive Vermögensverwaltung, gegebenenfalls einschließlich der Gewährung von Gelddarlehen und im Fall der Verwaltung von Entwicklungsförderungsfonds die Übernahme von Bürgschaften, Garantien und sonstigen Gewährleistungen für andere, oder daneben ausschließlich die in § 20 Absatz 2 und 3 des Kapitalanlagegesetzbuchs aufgeführten Dienstleistungen oder Nebendienstleistungen betreiben;</w:t>
      </w:r>
    </w:p>
    <w:p>
      <w:pPr>
        <w:ind w:left="420"/>
      </w:pPr>
      <w:r>
        <w:t xml:space="preserve">3c. EU-Verwaltungsgesellschaften und, unter der Voraussetzung, dass der Vertrieb der betreffenden Investmentvermögen im Inland nach dem Kapitalanlagegesetzbuch auf der Basis einer Vertriebsanzeige zulässig ist, ausländische AIF-Verwaltungsgesellschaften, sofern die EU-Verwaltungsgesellschaft oder die ausländische AIF-Verwaltungsgesellschaft als Bankgeschäfte nur die kollektive Vermögensverwaltung, gegebenenfalls einschließlich der Gewährung von Gelddarlehen, oder daneben ausschließlich die in Artikel 6 Absatz 3 der Richtlinie 2009/65/EG oder die in Artikel 6 Absatz 4 der Richtlinie 2011/61/EU aufgeführten Dienstleistungen oder Nebendienstleistungen betreibt; ein Vertrieb von ausländischen AIF oder EU-AIF an professionelle Anleger nach § 330 des Kapitalanlagegesetzbuchs gilt nicht als zulässiger Vertrieb im Sinne dieser Vorschrift;</w:t>
      </w:r>
    </w:p>
    <w:p>
      <w:pPr>
        <w:ind w:left="420"/>
      </w:pPr>
      <w:r>
        <w:t xml:space="preserve">3d. EU-Investmentvermögen und, unter der Voraussetzung, dass der Vertrieb der betreffenden Investmentvermögen im Inland nach dem Kapitalanlagegesetzbuch auf der Basis einer Vertriebsanzeige zulässig ist, ausländische AIF, sofern das EU-Investmentvermögen oder der ausländische AIF als Bankgeschäfte nur die kollektive Vermögensverwaltung, gegebenenfalls einschließlich der Gewährung von Gelddarlehen, oder daneben ausschließlich die in Artikel 6 Absatz 3 der Richtlinie 2009/65/EG oder die in Artikel 6 Absatz 4 der Richtlinie 2011/61/EU aufgeführten Dienstleistungen oder Nebendienstleistungen betreibt; ein Vertrieb von ausländischen AIF oder EU-AIF an professionelle Anleger nach § 330 des Kapitalanlagegesetzbuchs gilt nicht als zulässiger Vertrieb im Sinne dieser Vorschrift;</w:t>
      </w:r>
    </w:p>
    <w:p>
      <w:pPr>
        <w:ind w:left="420"/>
      </w:pPr>
      <w:r>
        <w:t xml:space="preserve">3e. Kreditvergabezweckgesellschaften im Sinne des § 1 Absatz 19 Nummer 24c des Kapitalanlagegesetzbuchs, sofern sie als Bankgeschäfte nur die Gewährung von Gelddarlehen betreiben;</w:t>
      </w:r>
    </w:p>
    <w:p>
      <w:pPr>
        <w:ind w:left="420"/>
      </w:pPr>
      <w:r>
        <w:t xml:space="preserve">4. private und öffentlich-rechtliche Versicherungsunternehmen;</w:t>
      </w:r>
    </w:p>
    <w:p>
      <w:pPr>
        <w:ind w:left="420"/>
      </w:pPr>
      <w:r>
        <w:t xml:space="preserve">5. Unternehmen des Pfandleihgewerbes, soweit sie dieses durch Gewährung von Darlehen gegen Faustpfand betreiben;</w:t>
      </w:r>
    </w:p>
    <w:p>
      <w:pPr>
        <w:ind w:left="420"/>
      </w:pPr>
      <w:r>
        <w:t xml:space="preserve">6. Unternehmen, die auf Grund des Gesetzes über Unternehmensbeteiligungsgesellschaften als Unternehmensbeteiligungsgesellschaften anerkannt sind;</w:t>
      </w:r>
    </w:p>
    <w:p>
      <w:pPr>
        <w:ind w:left="420"/>
      </w:pPr>
      <w:r>
        <w:t xml:space="preserve">6a. (weggefallen)</w:t>
      </w:r>
    </w:p>
    <w:p>
      <w:pPr>
        <w:ind w:left="420"/>
      </w:pPr>
      <w:r>
        <w:t xml:space="preserve">7. Unternehmen, die Bankgeschäfte ausschließlich mit ihrem Mutterunternehmen oder ihren Tochter- oder Schwesterunternehmen betreiben;</w:t>
      </w:r>
    </w:p>
    <w:p>
      <w:pPr>
        <w:ind w:left="420"/>
      </w:pPr>
      <w:r>
        <w:t xml:space="preserve">8. Unternehmen, die als Bankgeschäft nur das Einlagen- oder Kreditgeschäft, beides jeweils nur über einen nach Artikel 12 Absatz 1 der Verordnung (EU) 2020/1503 zugelassenen Schwarmfinanzierungsdienstleister, betreiben;</w:t>
      </w:r>
    </w:p>
    <w:p>
      <w:pPr>
        <w:ind w:left="420"/>
      </w:pPr>
      <w:r>
        <w:t xml:space="preserve">9. Unternehmen, die außer dem Finanzkommissionsgeschäft und dem Emissionsgeschäft, jeweils ausschließlich mit Warentermingeschäften, Emissionszertifikaten und Derivaten auf Emissionszertifikate, kein Bankgeschäft betreiben und keinen Eigenhandel im Sinne des § 1 Absatz 1a Satz 2 Nummer 4 Buchstabe d erbringen, unter den weiteren Voraussetzungen, dass</w:t>
      </w:r>
    </w:p>
    <w:p>
      <w:pPr>
        <w:ind w:left="780"/>
      </w:pPr>
      <w:r>
        <w:t xml:space="preserve">a) das Unternehmen nicht Teil einer Unternehmensgruppe ist, deren Haupttätigkeit in dem Betreiben von Bankgeschäften oder dem Erbringen von Finanzdienstleistungen im Sinne des § 1 Absatz 1a Satz 2 Nummer 1 bis 4 besteht,</w:t>
      </w:r>
    </w:p>
    <w:p>
      <w:pPr>
        <w:ind w:left="780"/>
      </w:pPr>
      <w:r>
        <w:t xml:space="preserve">b) das Bankgeschäft in jedem dieser Fälle sowohl auf individueller als auch auf auf Ebene der Unternehmensgruppe aggregierter Basis eine Nebentätigkeit zur Haupttätigkeit darstellt; die Kriterien, wann eine Nebentätigkeit vorliegt, werden in einem auf der Grundlage von Artikel 2 Absatz 4 und Artikel 89 der Richtlinie 2014/65/EU erlassenen delegierten Rechtsakt der Kommission bestimmt,</w:t>
      </w:r>
    </w:p>
    <w:p>
      <w:pPr>
        <w:ind w:left="780"/>
      </w:pPr>
      <w:r>
        <w:t xml:space="preserve">c) dieses Nebengeschäft ausschließlich als Dienstleistung für die Kunden oder Zulieferer ihrer Haupttätigkeit betrieben wird,</w:t>
      </w:r>
    </w:p>
    <w:p>
      <w:pPr>
        <w:ind w:left="780"/>
      </w:pPr>
      <w:r>
        <w:t xml:space="preserve">d) das Unternehmen der Bundesanstalt auf Anforderung die Umstände mitteilt, auf Grund derer es zu der Auffassung gelangt, dass seine Tätigkeit eine Nebentätigkeit zu seiner Haupttätigkeit darstellt;</w:t>
      </w:r>
    </w:p>
    <w:p>
      <w:pPr>
        <w:ind w:left="780"/>
      </w:pPr>
      <w:r>
        <w:t xml:space="preserve">e) (weggefallen)</w:t>
      </w:r>
    </w:p>
    <w:p>
      <w:pPr>
        <w:ind w:left="420"/>
      </w:pPr>
      <w:r>
        <w:t xml:space="preserve">10. Unternehmen, die das Finanzkommissionsgeschäft ausschließlich als Dienstleistung für Anbieter oder Emittenten von Vermögensanlagen im Sinne des § 1 Absatz 2 des Vermögensanlagengesetzes oder von geschlossenen AIF im Sinne des § 1 Absatz 5 des Kapitalanlagegesetzbuchs betreiben;</w:t>
      </w:r>
    </w:p>
    <w:p>
      <w:pPr>
        <w:ind w:left="420"/>
      </w:pPr>
      <w:r>
        <w:t xml:space="preserve">11. Unternehmen, die das Emissionsgeschäft ausschließlich als Übernahme gleichwertiger Garantien im Sinne des § 1 Absatz 1 Satz 2 Nummer 10 für Anbieter oder Emittenten von Vermögensanlagen im Sinne des § 1 Absatz 2 des Vermögensanlagengesetzes oder von geschlossenen AIF im Sinne des § 1 Absatz 5 des Kapitalanlagegesetzbuchs betreiben;</w:t>
      </w:r>
    </w:p>
    <w:p>
      <w:pPr>
        <w:ind w:left="420"/>
      </w:pPr>
      <w:r>
        <w:t xml:space="preserve">12. Unternehmen, die das Depotgeschäft im Sinne des § 1 Absatz 1 Satz 2 Nummer 5 ausschließlich für AIF betreiben und damit das eingeschränkte Verwahrgeschäft im Sinne des § 1 Absatz 1a Satz 2 Nummer 12 erbringen;</w:t>
      </w:r>
    </w:p>
    <w:p>
      <w:pPr>
        <w:ind w:left="420"/>
      </w:pPr>
      <w:r>
        <w:t xml:space="preserve">13. folgende Unternehmen, sofern sie das Finanzkommissionsgeschäft und das Emissionsgeschäft im Sinne des § 1 Absatz 1 Satz 2 Nummer 4 und 10 in Bezug auf Warenderivate betreiben und sofern diese Geschäfte mit der jeweiligen Haupttätigkeit der Unternehmen in Zusammenhang stehen und die Unternehmen weder einen Sekundärmarkt noch eine Plattform für den Sekundärhandel mit finanziellen Übertragungsrechten betreiben:</w:t>
      </w:r>
    </w:p>
    <w:p>
      <w:pPr>
        <w:ind w:left="780"/>
      </w:pPr>
      <w:r>
        <w:t xml:space="preserve">a) Übertragungsnetzbetreiber gemäß Artikel 2 Nummer 35 der Richtlinie (EU) 2019/944 des Europäischen Parlaments und des Rates vom 5. Juni 2019 mit gemeinsamen Vorschriften für den Elektrizitätsbinnenmarkt und zur Änderung der Richtlinie 2012/27/EU (ABl. L 158 vom 14.6.2019, S. 125; L 15 vom 20.1.2020, S. 8) oder Artikel 2 Nummer 4 der Richtlinie 2009/73/EG, wenn sie ihre Aufgaben gemäß diesen Richtlinien, gemäß der Verordnung (EU) 2019/943 des Europäischen Parlaments und des Rates vom 5. Juni 2019 über den Elektrizitätsbinnenmarkt (ABl. L 158 vom 14.6.2019, S. 54), der Verordnung (EG) Nr. 714/2009 des Europäischen Parlaments und des Rates vom 13. Juli 2009 über die Netzzugangsbedingungen für den grenzüberschreitenden Stromhandel und zur Aufhebung der Verordnung (EG) Nr. 1228/2003 (ABl. L 211 vom 14.8.2009, S. 15), die zuletzt durch die Verordnung (EU) Nr. 543/2013 (ABl. L 163 vom 15.6.2013, S. 1) geändert worden ist, der Verordnung (EG) Nr. 715/2009 des Europäischen Parlaments und des Rates vom 13. Juli 2009 über die Bedingungen für den Zugang zu den Erdgasfernleitungsnetzen und zur Aufhebung der Verordnung (EG) Nr. 1775/2005 (ABl. L 211 vom 14.8.2009, S. 36; L 229 vom 1.9.2009, S. 29; L 309 vom 24.11.2009, S. 87), die zuletzt durch die Verordnungen (EU) 2018/1999 (ABl. L 328 vom 21.12.2018, S. 1) und (EU) Nr. 347/2013 (ABl. L 115 vom 25.4.2013, S. 39) geändert worden ist, oder gemäß den nach diesen Verordnungen erlassenen Netzcodes oder Leitlinien wahrnehmen,</w:t>
      </w:r>
    </w:p>
    <w:p>
      <w:pPr>
        <w:ind w:left="780"/>
      </w:pPr>
      <w:r>
        <w:t xml:space="preserve">b) Personen, die in ihrem Namen als Dienstleister handeln, um die Aufgaben eines Übertragungsnetzbetreibers gemäß diesen Gesetzgebungsakten sowie gemäß den nach diesen Verordnungen erlassenen Netzcodes oder Leitlinien wahrzunehmen, sowie</w:t>
      </w:r>
    </w:p>
    <w:p>
      <w:pPr>
        <w:ind w:left="780"/>
      </w:pPr>
      <w:r>
        <w:t xml:space="preserve">c) Betreiber oder Verwalter eines Energieausgleichssystems, eines Rohrleitungsnetzes oder eines Systems zum Ausgleich von Energieangebot und -verbrauch bei der Wahrnehmung solcher Aufgaben;</w:t>
      </w:r>
    </w:p>
    <w:p>
      <w:pPr>
        <w:ind w:left="420"/>
      </w:pPr>
      <w:r>
        <w:t xml:space="preserve">14. Zentralverwahrer, die gemäß Artikel 16 der Verordnung (EU) Nr. 909/2014 zugelassen sind, soweit sie das Finanzkommissionsgeschäft und das Emissionsgeschäft im Sinne des § 1 Absatz 1 Satz 2 Nummer 4 und 10 betreiben.</w:t>
      </w:r>
    </w:p>
    <w:p>
      <w:r>
        <w:t xml:space="preserve">(2) Für die Kreditanstalt für Wiederaufbau gelten die §§ 14, 22a bis 22o, 53b Absatz 7 und die auf Grund von § 46g Absatz 1 Nummer 2 und § 46h getroffenen Regelungen; für die Sozialversicherungsträger, für die Bundesagentur für Arbeit, für Versicherungsunternehmen sowie für Unternehmensbeteiligungsgesellschaften gilt § 14.</w:t>
      </w:r>
    </w:p>
    <w:p>
      <w:r>
        <w:t xml:space="preserve">(3) Für Unternehmen der in Absatz 1 Nr. 4 bis 6 bezeichneten Art gelten die Vorschriften dieses Gesetzes insoweit, als sie Bankgeschäfte betreiben, die nicht zu den ihnen eigentümlichen Geschäften gehören.</w:t>
      </w:r>
    </w:p>
    <w:p>
      <w:r>
        <w:t xml:space="preserve">(4) Die Bundesanstalt kann im Einzelfall bestimmen, dass auf ein Institut die §§ 1a, 2c, 10 bis 18, 24, 24a, 25, 25a bis 25e, 26 bis 38, 45, 46 bis 46c und 51 Absatz 1 dieses Gesetzes insgesamt nicht anzuwenden sind, solange das Unternehmen wegen der Art der von ihm betriebenen Geschäfte insoweit nicht der Aufsicht bedarf; auf der Grundlage einer Freistellung nach Halbsatz 1 kann sie auch bestimmen, dass auf das Institut § 24c nicht anzuwenden ist, solange das Unternehmen wegen der Art der von ihm betriebenen Geschäfte auch insoweit nicht der Aufsicht bedarf. Die Entscheidung ist im Bundesanzeiger bekanntzumachen.</w:t>
      </w:r>
    </w:p>
    <w:p>
      <w:r>
        <w:t xml:space="preserve">(5) Vorbehaltlich der Regelungen in Titel VIII der Verordnung (EU) Nr. 600/2014 in der Fassung vom 23. Oktober 2024 sowie von Beschlüssen der Europäischen Kommission nach Artikel 25 Absatz 4 Unterabsatz 3 der Richtlinie 2014/65/EU in der Fassung vom 28. Februar 2024 und nach Artikel 28 Absatz 4 Unterabsatz 1 der Verordnung (EU) Nr. 600/2014 in der Fassung vom 23. Oktober 2024 und sofern Artikel 21c und Artikel 47 der Richtlinie 2013/36/EU in der Fassung vom 27. November 2024 nicht entgegenstehen, kann die Bundesanstalt im Einzelfall bestimmen, dass auf ein Institut mit Sitz in einem Drittstaat, das im Inland im Wege des grenzüberschreitenden Dienstleistungsverkehrs gewerbsmäßig oder in einem Umfang, der einen in kaufmännischer Weise eingerichteten Geschäftsbetrieb erfordert, Bankgeschäfte betreiben oder Finanzdienstleistungen erbringen will, die §§ 1a, 2c, 10 bis 18, 24, 24a, 25, 25a bis 25e, 26 bis 38, 45, 46 bis 46c und 51 Absatz 1 insgesamt nicht anzuwenden sind, solange das Institut im Hinblick auf seine im Inland betriebenen Geschäfte wegen seiner Aufsicht durch die im Herkunftsstaat zuständige Behörde insoweit nicht zusätzlich der Aufsicht durch die Bundesanstalt bedarf. Die Bundesanstalt hat die bestehenden Freistellungen zu widerrufen, soweit die Richtlinie 2013/36/EU in der Fassung vom 27. November 2024 für die betreffenden Geschäfte die Errichtung einer inländischen Zweigstelle verlangt. Auf Grundlage einer Freistellung nach Satz 1 kann sie auch bestimmen, dass auf das Institut auch § 24c nicht anzuwenden ist. Die Sätze 1 und 3 gelten entsprechend für Institute mit Sitz im Europäischen Wirtschaftsraum, für die der Marktzutritt nicht in § 53b Absatz 1 geregelt ist.</w:t>
      </w:r>
    </w:p>
    <w:p>
      <w:r>
        <w:t xml:space="preserve">(6) Als Finanzdienstleistungsinstitute gelten nicht</w:t>
      </w:r>
    </w:p>
    <w:p>
      <w:pPr>
        <w:ind w:left="420"/>
      </w:pPr>
      <w:r>
        <w:t xml:space="preserve">1. die Deutsche Bundesbank und vergleichbare Institutionen in den anderen Staaten der Europäischen Union, die Mitglieder des Europäischen Systems der Zentralbanken sind;</w:t>
      </w:r>
    </w:p>
    <w:p>
      <w:pPr>
        <w:ind w:left="420"/>
      </w:pPr>
      <w:r>
        <w:t xml:space="preserve">1a. von zwei oder mehr Mitgliedstaaten der Europäischen Union gegründete internationale Finanzinstitute, die dem Zweck dienen, Finanzmittel zu mobilisieren und seinen Mitgliedern Finanzhilfen zu gewähren, sofern diese von schwerwiegenden Finanzierungsproblemen betroffen oder bedroht sind;</w:t>
      </w:r>
    </w:p>
    <w:p>
      <w:pPr>
        <w:ind w:left="420"/>
      </w:pPr>
      <w:r>
        <w:t xml:space="preserve">2. die Kreditanstalt für Wiederaufbau;</w:t>
      </w:r>
    </w:p>
    <w:p>
      <w:pPr>
        <w:ind w:left="420"/>
      </w:pPr>
      <w:r>
        <w:t xml:space="preserve">3. die öffentliche Schuldenverwaltung des Bundes oder eines Landes, eines ihrer Sondervermögen oder eines anderen Staates des Europäischen Wirtschaftsraums und deren Zentralbanken;</w:t>
      </w:r>
    </w:p>
    <w:p>
      <w:pPr>
        <w:ind w:left="420"/>
      </w:pPr>
      <w:r>
        <w:t xml:space="preserve">4. private und öffentlich-rechtliche Versicherungsunternehmen;</w:t>
      </w:r>
    </w:p>
    <w:p>
      <w:pPr>
        <w:ind w:left="420"/>
      </w:pPr>
      <w:r>
        <w:t xml:space="preserve">5. Unternehmen, die Finanzdienstleistungen im Sinne des § 1 Absatz 1a Satz 2 ausschließlich für ihre Mutterunternehmen oder ihre Tochter- oder Schwesterunternehmen erbringen;</w:t>
      </w:r>
    </w:p>
    <w:p>
      <w:pPr>
        <w:ind w:left="420"/>
      </w:pPr>
      <w:r>
        <w:t xml:space="preserve">5a. Kapitalverwaltungsgesellschaften und extern verwaltete Investmentgesellschaften, sofern sie nur die kollektive Vermögensverwaltung erbringen oder neben der kollektiven Vermögensverwaltung ausschließlich die in § 20 Absatz 2 und 3 des Kapitalanlagegesetzbuchs aufgeführten Dienstleistungen oder Nebendienstleistungen als Finanzdienstleistungen erbringen;</w:t>
      </w:r>
    </w:p>
    <w:p>
      <w:pPr>
        <w:ind w:left="420"/>
      </w:pPr>
      <w:r>
        <w:t xml:space="preserve">5b. EU-Verwaltungsgesellschaften und ausländische AIF-Verwaltungsgesellschaften, sofern sie nur die kollektive Vermögensverwaltung erbringen oder neben der kollektiven Vermögensverwaltung ausschließlich die in Artikel 6 Absatz 3 der Richtlinie 2009/65/EG oder die in Artikel 6 Absatz 4 der Richtlinie 2011/61/EU aufgeführten Dienstleistungen oder Nebendienstleistungen als Finanzdienstleistungen erbringen;</w:t>
      </w:r>
    </w:p>
    <w:p>
      <w:pPr>
        <w:ind w:left="420"/>
      </w:pPr>
      <w:r>
        <w:t xml:space="preserve">6. Unternehmen, deren Finanzdienstleistung für andere ausschließlich in der Verwaltung eines Systems von Arbeitnehmerbeteiligungen an den eigenen oder an mit ihnen verbundenen Unternehmen besteht;</w:t>
      </w:r>
    </w:p>
    <w:p>
      <w:pPr>
        <w:ind w:left="420"/>
      </w:pPr>
      <w:r>
        <w:t xml:space="preserve">7. Unternehmen, die ausschließlich Finanzdienstleistungen im Sinne sowohl der Nummer 5 als auch der Nummer 6 erbringen;</w:t>
      </w:r>
    </w:p>
    <w:p>
      <w:pPr>
        <w:ind w:left="420"/>
      </w:pPr>
      <w:r>
        <w:t xml:space="preserve">8. Unternehmen, die als Finanzdienstleistungen für andere ausschließlich die Anlageberatung und die Anlagevermittlung zwischen Kunden und</w:t>
      </w:r>
    </w:p>
    <w:p>
      <w:pPr>
        <w:ind w:left="780"/>
      </w:pPr>
      <w:r>
        <w:t xml:space="preserve">a) inländischen Instituten oder Wertpapierinstituten,</w:t>
      </w:r>
    </w:p>
    <w:p>
      <w:pPr>
        <w:ind w:left="780"/>
      </w:pPr>
      <w:r>
        <w:t xml:space="preserve">b) Instituten oder Finanzunternehmen mit Sitz in einem anderen Staat des Europäischen Wirtschaftsraums, die die Voraussetzungen nach § 53b Absatz 1 Satz 1 oder Absatz 7 erfüllen, oder Wertpapierinstituten nach § 73 Absatz 1 Satz 1 oder nach § 74 Absatz 1 des Wertpapierinstitutsgesetzes,</w:t>
      </w:r>
    </w:p>
    <w:p>
      <w:pPr>
        <w:ind w:left="780"/>
      </w:pPr>
      <w:r>
        <w:t xml:space="preserve">c) Unternehmen, die auf Grund einer Rechtsverordnung nach § 53c gleichgestellt oder freigestellt sind,</w:t>
      </w:r>
    </w:p>
    <w:p>
      <w:pPr>
        <w:ind w:left="780"/>
      </w:pPr>
      <w:r>
        <w:t xml:space="preserve">d) Kapitalverwaltungsgesellschaften, extern verwalteten Investmentgesellschaften, EU-Verwaltungsgesellschaften oder ausländischen AIF-Verwaltungsgesellschaften oder</w:t>
      </w:r>
    </w:p>
    <w:p>
      <w:pPr>
        <w:ind w:left="780"/>
      </w:pPr>
      <w:r>
        <w:t xml:space="preserve">e) Anbietern oder Emittenten von Vermögensanlagen im Sinne des § 1 Absatz 2 des Vermögensanlagengesetzes</w:t>
      </w:r>
    </w:p>
    <w:p>
      <w:pPr>
        <w:ind w:left="420"/>
      </w:pPr>
      <w:r>
        <w:t xml:space="preserve">betreiben, sofern sich diese Finanzdienstleistungen auf Anteile oder Aktien an inländischen Investmentvermögen, die von einer Kapitalverwaltungsgesellschaft ausgegeben werden, die eine Erlaubnis nach § 7 oder § 97 Absatz 1 des Investmentgesetzes in der bis zum 21. Juli 2013 geltenden Fassung erhalten hat, die für den in § 345 Absatz 2 Satz 1, Absatz 3 Satz 2, in Verbindung mit Absatz 2 Satz 1, oder Absatz 4 Satz 1 des Kapitalanlagegesetzbuchs vorgesehenen Zeitraum noch fortbesteht, oder eine Erlaubnis nach den §§ 20, 21 oder §§ 20, 22 des Kapitalanlagegesetzbuchs erhalten hat oder die von einer EU-Verwaltungsgesellschaft ausgegeben werden, die eine Erlaubnis nach Artikel 6 der Richtlinie 2009/65/EG oder der Richtlinie 2011/61/EU erhalten hat, oder auf Anteile oder Aktien an EU-Investmentvermögen oder ausländischen AIF, die nach dem Kapitalanlagegesetzbuch vertrieben werden dürfen, mit Ausnahme solcher AIF, die nach § 330a des Kapitalanlagegesetzbuchs vertrieben werden dürfen, oder auf Vermögensanlagen im Sinne des § 1 Absatz 2 des Vermögensanlagengesetzes, die erstmals öffentlich angeboten werden, beschränken und die Unternehmen nicht befugt sind, sich bei der Erbringung dieser Finanzdienstleistungen Eigentum oder Besitz an Geldern oder Anteilen von Kunden zu verschaffen, es sei denn, das Unternehmen beantragt und erhält eine entsprechende Erlaubnis nach § 32 Absatz 1 dieses Gesetzes oder nach § 15 Absatz 1 des Wertpapierinstitutsgesetzes; Anteile oder Aktien an Hedgefonds im Sinne von § 283 des Kapitalanlagegesetzbuchs gelten nicht als Anteile an Investmentvermögen im Sinne dieser Vorschrift;</w:t>
      </w:r>
    </w:p>
    <w:p>
      <w:pPr>
        <w:ind w:left="420"/>
      </w:pPr>
      <w:r>
        <w:t xml:space="preserve">9. Unternehmen mit einer Zulassung nach Artikel 12 Absatz 1 der Verordnung (EU) 2020/1503 als Schwarmfinanzierungsdienstleister, soweit sie im Rahmen von Schwarmfinanzierungen Finanzdienstleistungen im Sinne des § 1 Absatz 1a Satz 2 Nummer 1, 1a, 1c oder 3 und darüber hinaus keine anderen Finanzdienstleistungen erbringen;</w:t>
      </w:r>
    </w:p>
    <w:p>
      <w:pPr>
        <w:ind w:left="420"/>
      </w:pPr>
      <w:r>
        <w:t xml:space="preserve">10. Angehörige freier Berufe, die Finanzdienstleistungen im Sinne des § 1 Abs. 1a Satz 2 Nr. 1 bis 4 nur gelegentlich im Sinne des Artikels 4 der Delegierten Verordnung (EU) 2017/565 und im Rahmen eines Mandatsverhältnisses als Freiberufler erbringen und einer Berufskammer in der Form der Körperschaft des öffentlichen Rechts angehören, deren Berufsrecht die Erbringung von Finanzdienstleistungen nicht ausschließt;</w:t>
      </w:r>
    </w:p>
    <w:p>
      <w:pPr>
        <w:ind w:left="420"/>
      </w:pPr>
      <w:r>
        <w:t xml:space="preserve">11. Unternehmen, die außer Finanzdienstleistungen im Sinne des § 1 Absatz 1a Satz 2 Nummer 1 bis 3 und 4 Buchstabe a bis c, jeweils ausschließlich mit Warentermingeschäften, Emissionszertifikaten und mit Derivaten auf Emissionszertifikate, keine Finanzdienstleistungen erbringen, unter den weiteren Voraussetzungen, dass</w:t>
      </w:r>
    </w:p>
    <w:p>
      <w:pPr>
        <w:ind w:left="780"/>
      </w:pPr>
      <w:r>
        <w:t xml:space="preserve">a) das Unternehmen nicht Teil einer Unternehmensgruppe ist, die in der Haupttätigkeit Bankgeschäfte betreibt oder Finanzdienstleistungen im Sinne des § 1 Absatz 1a Satz 2 Nummer 1 bis 4 erbringt,</w:t>
      </w:r>
    </w:p>
    <w:p>
      <w:pPr>
        <w:ind w:left="780"/>
      </w:pPr>
      <w:r>
        <w:t xml:space="preserve">b) die Finanzdienstleistungen in jedem dieser Fälle sowohl auf individueller als auch auf auf Ebene der Unternehmensgruppe aggregierter Basis eine Nebentätigkeit zur Haupttätigkeit darstellen; die Kriterien, wann eine Nebentätigkeit vorliegt, werden in einem auf der Grundlage von Artikel 2 Absatz 4 und Artikel 89 der Richtlinie 2014/65/EU erlassenen delegierten Rechtsakt der Kommission bestimmt,</w:t>
      </w:r>
    </w:p>
    <w:p>
      <w:pPr>
        <w:ind w:left="780"/>
      </w:pPr>
      <w:r>
        <w:t xml:space="preserve">c) dieses Nebengeschäft, soweit das Unternehmen nicht die Finanzdienstleistung im Sinne des § 1 Absatz 1a Satz 2 Nummer 4 Buchstabe a erbringt, ausschließlich als Dienstleistung für die Kunden oder Zulieferer ihrer Haupttätigkeit betrieben wird,</w:t>
      </w:r>
    </w:p>
    <w:p>
      <w:pPr>
        <w:ind w:left="780"/>
      </w:pPr>
      <w:r>
        <w:t xml:space="preserve">d) das Unternehmen der Bundesanstalt auf Anforderung die Umstände mitteilt, auf Grund derer es zu der Auffassung gelangt, dass seine Tätigkeit eine Nebentätigkeit zu seiner Haupttätigkeit darstellt.</w:t>
      </w:r>
    </w:p>
    <w:p>
      <w:pPr>
        <w:ind w:left="780"/>
      </w:pPr>
      <w:r>
        <w:t xml:space="preserve">e) (weggefallen)</w:t>
      </w:r>
    </w:p>
    <w:p>
      <w:pPr>
        <w:ind w:left="420"/>
      </w:pPr>
      <w:r>
        <w:t xml:space="preserve">12. Unternehmen, deren einzige Finanzdienstleistung im Sinne des § 1 Abs. 1a Satz 2 der Handel mit Sorten ist, sofern ihre Haupttätigkeit nicht im Sortengeschäft besteht;</w:t>
      </w:r>
    </w:p>
    <w:p>
      <w:pPr>
        <w:ind w:left="420"/>
      </w:pPr>
      <w:r>
        <w:t xml:space="preserve">13. (weggefallen)</w:t>
      </w:r>
    </w:p>
    <w:p>
      <w:pPr>
        <w:ind w:left="420"/>
      </w:pPr>
      <w:r>
        <w:t xml:space="preserve">14. (weggefallen)</w:t>
      </w:r>
    </w:p>
    <w:p>
      <w:pPr>
        <w:ind w:left="420"/>
      </w:pPr>
      <w:r>
        <w:t xml:space="preserve">15. Unternehmen, die als Finanzdienstleistung im Sinne des § 1 Abs. 1a Satz 2 ausschließlich die Anlageberatung im Rahmen einer anderen beruflichen Tätigkeit erbringen, ohne sich die Anlageberatung besonders vergüten zu lassen;</w:t>
      </w:r>
    </w:p>
    <w:p>
      <w:pPr>
        <w:ind w:left="420"/>
      </w:pPr>
      <w:r>
        <w:t xml:space="preserve">16. Betreiber organisierter Märkte, die neben dem Betrieb eines multilateralen oder organisierten Handelssystems keine anderen Finanzdienstleistungen im Sinne des § 1 Abs. 1a Satz 2 erbringen;</w:t>
      </w:r>
    </w:p>
    <w:p>
      <w:pPr>
        <w:ind w:left="420"/>
      </w:pPr>
      <w:r>
        <w:t xml:space="preserve">17. Unternehmen, die als einzige Finanzdienstleistung im Sinne des § 1 Abs. 1a Satz 2 das Finanzierungsleasing betreiben, falls sie nur als Leasing-Objektgesellschaft für ein oder mehrere Leasingobjekte eines einzelnen Leasingnehmers tätig werden, keine eigenen geschäftspolitischen Entscheidungen treffen und von einem Institut mit Sitz im Europäischen Wirtschaftsraum verwaltet werden, das nach dem Recht des Herkunftsmitgliedstaates zum Betrieb des Finanzierungsleasing zugelassen ist;</w:t>
      </w:r>
    </w:p>
    <w:p>
      <w:pPr>
        <w:ind w:left="420"/>
      </w:pPr>
      <w:r>
        <w:t xml:space="preserve">18. Unternehmen, die als Finanzdienstleistung nur die Anlageverwaltung betreiben und deren Mutterunternehmen die Kreditanstalt für Wiederaufbau oder ein Institut im Sinne des Satzes 2 ist. Institut im Sinne des Satzes 1 ist ein Finanzdienstleistungsinstitut, das die Erlaubnis für die Anlageverwaltung hat, oder ein CRR-Institut mit Sitz in einem anderen Staat des Europäischen Wirtschaftsraums im Sinne des § 53b Absatz 1 Satz 1, das in seinem Herkunftsmitgliedstaat über eine Erlaubnis für mit § 1 Absatz 1a Satz 2 Nummer 11 vergleichbare Geschäfte verfügt, oder ein Institut mit Sitz in einem Drittstaat, das für die in § 1 Absatz 1a Satz 2 Nummer 11 genannten Geschäfte nach Absatz 5 von der Erlaubnispflicht nach § 32 freigestellt ist;</w:t>
      </w:r>
    </w:p>
    <w:p>
      <w:pPr>
        <w:ind w:left="420"/>
      </w:pPr>
      <w:r>
        <w:t xml:space="preserve">19. Unternehmen, die das Platzierungsgeschäft ausschließlich für Anbieter oder für Emittenten von Vermögensanlagen im Sinne des § 1 Absatz 2 des Vermögensanlagengesetzes oder von geschlossenen AIF im Sinne des § 1 Absatz 5 des Kapitalanlagegesetzbuchs erbringen;</w:t>
      </w:r>
    </w:p>
    <w:p>
      <w:pPr>
        <w:ind w:left="420"/>
      </w:pPr>
      <w:r>
        <w:t xml:space="preserve">20. Unternehmen, die außer der Finanzportfolioverwaltung und der Anlageverwaltung keine Finanzdienstleistungen erbringen, sofern die Finanzportfolioverwaltung und Anlageverwaltung nur auf Vermögensanlagen im Sinne des § 1 Absatz 2 des Vermögensanlagengesetzes oder von geschlossenen AIF im Sinne des § 1 Absatz 5 des Kapitalanlagegesetzbuchs beschränkt erbracht werden;</w:t>
      </w:r>
    </w:p>
    <w:p>
      <w:pPr>
        <w:ind w:left="420"/>
      </w:pPr>
      <w:r>
        <w:t xml:space="preserve">21. folgende Unternehmen, sofern sie Finanzdienstleistungen im Sinne des § 1 Absatz 1a Satz 2 Nummer 1 bis 4 in Bezug auf Warenderivate erbringen und sofern diese Finanzdienstleistungen mit der jeweiligen Haupttätigkeit der Unternehmen in Zusammenhang stehen und die Unternehmen weder einen Sekundärmarkt noch eine Plattform für den Sekundärhandel mit finanziellen Übertragungsrechten betreiben:</w:t>
      </w:r>
    </w:p>
    <w:p>
      <w:pPr>
        <w:ind w:left="780"/>
      </w:pPr>
      <w:r>
        <w:t xml:space="preserve">a) Übertragungsnetzbetreiber gemäß Artikel 2 Nummer 35 der Richtlinie (EU) 2019/944 des Europäischen Parlaments und des Rates vom 5. Juni 2019 mit gemeinsamen Vorschriften für den Elektrizitätsbinnenmarkt und zur Änderung der Richtlinie 2012/27/EU (ABl. L 158 vom 14.6.2019, S. 125; L 15 vom 20.1.2020, S. 8) oder Artikel 2 Nummer 4 der Richtlinie 2009/73/EG, wenn sie ihre Aufgaben gemäß diesen Richtlinien, gemäß der Verordnung (EU) 2019/943 des Europäischen Parlaments und des Rates vom 5. Juni 2019 über den Elektrizitätsbinnenmarkt (ABl. L 158 vom 14.6.2019, S. 54), der Verordnung (EG) Nr. 714/2009 des Europäischen Parlaments und des Rates vom 13. Juli 2009 über die Netzzugangsbedingungen für den grenzüberschreitenden Stromhandel und zur Aufhebung der Verordnung (EG) Nr. 1228/2003 (ABl. L 211 vom 14.8.2009, S. 15), die zuletzt durch die Verordnung (EU) Nr. 543/2013 (ABl. L 163 vom 15.6.2013, S. 1) geändert worden ist, der Verordnung (EG) Nr. 715/2009 des Europäischen Parlaments und des Rates vom 13. Juli 2009 über die Bedingungen für den Zugang zu den Erdgasfernleitungsnetzen und zur Aufhebung der Verordnung (EG) Nr. 1775/2005 (ABl. L 211 vom 14.8.2009, S. 36; L 229 vom 1.9.2009, S. 29; L 309 vom 24.11.2009, S. 87), die zuletzt durch die Verordnungen (EU) 2018/1999 (ABl. L 328 vom 21.12.2018, S. 1) und (EU) Nr. 347/2013 (ABl. L 115 vom 25.4.2013, S. 39) geändert worden ist, oder gemäß den nach diesen Verordnungen erlassenen Netzcodes oder Leitlinien wahrnehmen,</w:t>
      </w:r>
    </w:p>
    <w:p>
      <w:pPr>
        <w:ind w:left="780"/>
      </w:pPr>
      <w:r>
        <w:t xml:space="preserve">b) Personen, die in ihrem Namen als Dienstleister handeln, um die Aufgaben eines Übertragungsnetzbetreibers gemäß diesen Gesetzgebungsakten sowie gemäß den nach diesen Verordnungen erlassenen Netzcodes oder Leitlinien wahrzunehmen, sowie</w:t>
      </w:r>
    </w:p>
    <w:p>
      <w:pPr>
        <w:ind w:left="780"/>
      </w:pPr>
      <w:r>
        <w:t xml:space="preserve">c) Betreiber oder Verwalter eines Energieausgleichssystems, eines Rohrleitungsnetzes oder eines Systems zum Ausgleich von Energieangebot und -verbrauch bei der Wahrnehmung solcher Aufgaben;</w:t>
      </w:r>
    </w:p>
    <w:p>
      <w:pPr>
        <w:ind w:left="420"/>
      </w:pPr>
      <w:r>
        <w:t xml:space="preserve">22. Zentralverwahrer, die gemäß Artikel 16 der Verordnung (EU) Nr. 909/2014 zugelassen sind, soweit sie Finanzdienstleistungen im Sinne des § 1 Absatz 1a Satz 2 Nummer 1 bis 4 erbringen.</w:t>
      </w:r>
    </w:p>
    <w:p>
      <w:r>
        <w:t xml:space="preserve">Für Einrichtungen und Unternehmen im Sinne des Satzes 1 Nr. 3 und 4 gelten die Vorschriften dieses Gesetzes insoweit, als sie Finanzdienstleistungen erbringen, die nicht zu den ihnen eigentümlichen Geschäften gehören.</w:t>
      </w:r>
    </w:p>
    <w:p>
      <w:r>
        <w:t xml:space="preserve">(7) Auf Finanzdienstleistungsinstitute, die außer der Drittstaateneinlagenvermittlung und dem Sortengeschäft keine weiteren Finanzdienstleistungen im Sinne des § 1 Absatz 1a Satz 2 erbringen, sind die §§ 10, 10c bis 10i, 11 bis 18 und 24 Absatz 1 Nummer 4, 9, 14 bis 14b, die §§ 24a, 25a Absatz 5, die §§ 26a und 33 Absatz 1 Satz 1 Nummer 1, die §§ 45 und 46 Absatz 1 Satz 2 Nummer 4 bis 6 und die §§ 46b und 46c dieses Gesetzes sowie die Artikel 24 bis 403 und 411 bis 455 der Verordnung (EU) Nr. 575/2013 nicht anzuwenden.</w:t>
      </w:r>
    </w:p>
    <w:p>
      <w:r>
        <w:t xml:space="preserve">(7a) Auf Unternehmen, die ausschließlich Finanzdienstleistungen nach § 1 Absatz 1a Satz 2 Nummer 9 oder Nummer 10 erbringen, sind die §§ 10, 10c bis 10i, 11 bis 13c, 15 bis 18 und 24 Absatz 1 Nummer 4, 9, 11, 14 bis 14b, 16 und 17, Absatz 1a Nummer 5, die §§ 25, 25a Absatz 5 und 5b, § 25d Absatz 7 Satz 2, die §§ 26a und 33 Absatz 1 Satz 1 Nummer 1 und die §§ 45, 46b und 46c dieses Gesetzes sowie die Artikel 24 bis 455 und 465 bis 519 der Verordnung (EU) Nr. 575/2013 nicht anzuwenden.</w:t>
      </w:r>
    </w:p>
    <w:p>
      <w:r>
        <w:t xml:space="preserve">(7b) Auf Finanzdienstleistungsinstitute, die außer dem qualifizierten Kryptoverwahrgeschäft oder der Kryptowertpapierregisterführung keine weiteren Finanzdienstleistungen im Sinne des § 1 Absatz 1a Satz 2 erbringen, sind die §§ 10, 10c bis 18 und 24 Absatz 1 Nummer 4, 14 bis 14b, die §§ 24a und 25a Absatz 5, die §§ 26a und 45 dieses Gesetzes sowie die Artikel 39, 41, 51 bis 403 und 411 bis 455 der Verordnung (EU) Nr. 575/2013 nicht anzuwenden.</w:t>
      </w:r>
    </w:p>
    <w:p>
      <w:r>
        <w:t xml:space="preserve">(8) (weggefallen)</w:t>
      </w:r>
    </w:p>
    <w:p>
      <w:r>
        <w:t xml:space="preserve">(8a) Die Anforderungen des § 24 Absatz 1 Nummer 14 bis 14b, § 25a Absatz 5, des § 26a und der Artikel 39, 41, 89 bis 386, 429 bis 429g, 430 Absatz 1 Unterabsatz 1 Buchstabe a, b, e bis g und Absatz 2 bis 5 sowie der Artikel 430a und 430b der Verordnung (EU) Nr. 575/2013 gelten, vorbehaltlich des § 64h Absatz 7, nicht für die Institute, deren Haupttätigkeit ausschließlich im Betreiben von Bankgeschäften oder der Erbringung von Finanzdienstleistungen im Zusammenhang mit Derivaten nach § 1 Absatz 11 Satz 3 Nummer 2, 3 und 5 besteht.</w:t>
      </w:r>
    </w:p>
    <w:p>
      <w:r>
        <w:t xml:space="preserve">(8b) (weggefallen)</w:t>
      </w:r>
    </w:p>
    <w:p>
      <w:r>
        <w:t xml:space="preserve">(9) (weggefallen)</w:t>
      </w:r>
    </w:p>
    <w:p>
      <w:r>
        <w:t xml:space="preserve">(9a) Auf Kreditinstitute, die ausschließlich über eine Erlaubnis verfügen, die Tätigkeit einer zentralen Gegenpartei im Sinne des § 1 Absatz 1 Satz 2 Nummer 12 auszuüben, sind die §§ 2c, 6b, 10, 10c bis 10i, 11, 12a bis 18, 24 Absatz 1 Nummer 6, 10, 14 bis 14b, 16, Absatz 1a Nummer 4 bis 6, die §§ 24a, 24c, 25 Absatz 1 Satz 2, die §§ 25a bis 25e, 26a, 26c, 26d, 32, 33, 34, 36 Absatz 3 und die §§ 45 bis 45b dieses Gesetzes sowie die Artikel 25 bis 455 der Verordnung (EU) Nr. 575/2013 nicht anzuwenden. § 24 Absatz 1 Nummer 9 gilt mit der Maßgabe, dass das Absinken des Anfangskapitals unter die Mindestanforderungen nach Artikel 16 der Verordnung (EU) Nr. 648/2012 anzuzeigen ist.</w:t>
      </w:r>
    </w:p>
    <w:p>
      <w:r>
        <w:t xml:space="preserve">(9b) Sofern ein Kreditinstitut sowohl Tätigkeiten im Sinne des § 1 Absatz 1 Satz 2 Nummer 12 ausübt als auch weitere nach diesem Gesetz erlaubnispflichtige Bankgeschäfte betreibt oder Finanzdienstleistungen erbringt, ist auf die Tätigkeit im Sinne des § 1 Absatz 1 Satz 2 Nummer 12 der Absatz 9a anzuwenden; diese Kreditinstitute haben dafür Sorge zu tragen, dass sowohl die Anforderungen nach diesem Gesetz als auch die Anforderungen der Verordnung (EU) Nr. 648/2012 eingehalten werden. Bezüglich der Anforderungen an das Anfangskapital nach § 33 Absatz 1 sowie nach Artikel 16 Absatz 1 der Verordnung (EU) Nr. 648/2012 haben die betroffenen Kreditinstitute die im jeweiligen Einzelfall höheren Anforderungen zu erfüllen. Anzeige- und Informationspflichten, die sowohl nach § 2c Absatz 1 als auch nach Artikel 31 Absatz 2 der Verordnung (EU) Nr. 648/2012 bestehen, können in einer gemeinsamen Anzeige oder Mitteilung zusammengefasst werden.</w:t>
      </w:r>
    </w:p>
    <w:p>
      <w:r>
        <w:t xml:space="preserve">(9c) § 10d und Artikel 92 Absatz 1 Buchstabe d, die Artikel 411 bis 429g, 430 Absatz 1 Unterabsatz 1 Buchstabe a in Bezug auf den antizyklischen Kapitalpuffer und die Verschuldungsquote, Artikel 430 Absatz 1 Unterabsatz 1 Buchstabe d und h, die Artikel 440, 447 Buchstabe e, f und g sowie die Artikel 451 und 451a der Verordnung (EU) Nr. 575/2013 sind nicht auf Bürgschaftsbanken im Sinne des § 5 Absatz 1 Nummer 17 des Körperschaftsteuergesetzes anzuwenden. Bürgschaftsbanken im Sinne des § 5 Absatz 1 Nummer 17 des Körperschaftsteuergesetzes sowie Förderinstitute des Bundes oder eines Landes im Sinne des § 5 Absatz 1 Nummer 2 des Körperschaftsteuergesetzes können bei der Ermittlung des Risikogewichts für aus nachrangigen Schuldtiteln bestehende Risikopositionen nach Artikel 128 der Verordnung (EU) Nr. 575/2013, die im Rahmen staatlicher Programme zur Förderung bestimmter Wirtschaftssektoren eingegangen werden, die Regelungen des Artikels 133 Absatz 5 der Verordnung (EU) Nr. 575/2013 entsprechend anwenden, jedoch ohne die in Artikel 133 Absatz 5 der Verordnung (EU) Nr. 575/2013 vorgesehene Beschränkung auf 10 Prozent der Eigenmittel. Auf Beteiligungsrisikopositionen im Sinne des Artikels 133 der Verordnung (EU) Nr. 575/2013 von Bürgschaftsbanken im Sinne des § 5 Absatz 1 Nummer 17 des Körperschaftsteuergesetzes sowie Förderinstituten des Bundes oder eines Landes im Sinne des § 5 Absatz 1 Nummer 2 des Körperschaftssteuergesetzes ist Artikel 133 Absatz 5 der Verordnung (EU) Nr. 575/2013 mit der Maßgabe anzuwenden, dass die dort vorgesehene Beschränkung auf 10 Prozent der Eigenmittel nicht gilt. Für Beteiligungsrisikopositionen gemäß Satz 3 und nachrangige Schuldtitel gemäß Satz 2, die dem Förderauftrag entsprechen, gelten die Bedingungen des Artikels 133 Absatz 5 der Verordnung (EU) Nr. 575/2013 als erfüllt.</w:t>
      </w:r>
    </w:p>
    <w:p>
      <w:r>
        <w:t xml:space="preserve">(9d) Auf Bilanzaktiva in Form von Forderungen eines Förderinstituts des Bundes oder eines Landes im Sinne des § 5 Absatzes 1 Nummer 2 des Körperschaftsteuergesetzes an Kreditinstitute sowie sonstige Risikopositionen dieser Förderinstitute gegenüber Kreditinstituten, sofern die betreffenden Forderungen und Positionen auf Grund von Darlehen bestehen, die dem Förderauftrag entsprechen und über diese Kreditinstitute an die Begünstigten weitergereicht werden, findet Artikel 121 Absatz 1 der Verordnung (EU) Nr. 575/2013 in der am 31. Dezember 2024 geltenden Fassung Anwendung.</w:t>
      </w:r>
    </w:p>
    <w:p>
      <w:r>
        <w:t xml:space="preserve">(9e) Auf Kreditinstitute, die ausschließlich über eine Zulassung nach Artikel 16 Absatz 1 der Verordnung (EU) Nr. 909/2014 verfügen, die Tätigkeit als Zentralverwahrer nach Abschnitt A oder nach den Abschnitten A und B des Anhangs zur Verordnung (EU) Nr. 909/2014 auszuüben, sind die §§ 2c, 6b Absatz 1 Nummer 1, Absatz 2 und 3, die §§ 10, 10c bis 18, 24 Absatz 1 Nummer 4, 6, 9, 11, 14, 14a, 16 und 17, Absatz 1a Nummer 4 bis 8, Absatz 1b, die §§ 24a, 24c, 25 Absatz 1 Satz 2, die §§ 25a bis 25e, 26c, 26d, 33 bis 33b, 36 Absatz 3, die §§ 45 bis 45b, 53 und 53a dieses Gesetzes nicht anzuwenden.</w:t>
      </w:r>
    </w:p>
    <w:p>
      <w:r>
        <w:t xml:space="preserve">(9f) Auf Kreditinstitute, die ausschließlich über eine Zulassung nach Artikel 16 Absatz 1 der Verordnung (EU) Nr. 909/2014 verfügen, die Tätigkeit als Zentralverwahrer nach Abschnitt A oder nach den Abschnitten A und B des Anhangs zur Verordnung (EU) Nr. 909/2014 auszuüben sowie weitere Bankgeschäfte zu betreiben oder Finanzdienstleistungen zu erbringen, die zugleich Wertpapierdienstleistungen im Sinne des § 2 Absatz 3 des Wertpapierhandelsgesetzes sind, sind die §§ 2c, 24 Absatz 1 Nummer 1 und 2, § 25c Absatz 1, § 33 Absatz 1 Nummer 2 und 4a und § 35 nicht anzuwenden.</w:t>
      </w:r>
    </w:p>
    <w:p>
      <w:r>
        <w:t xml:space="preserve">(9g) (weggefallen)</w:t>
      </w:r>
    </w:p>
    <w:p>
      <w:r>
        <w:t xml:space="preserve">(9h) (weggefallen)</w:t>
      </w:r>
    </w:p>
    <w:p>
      <w:r>
        <w:t xml:space="preserve">(9i) Auf Kreditinstitute, die in Artikel 2 Absatz 5 Nummer 5 der Richtlinie 2013/36/EU namentlich genannt werden, sind § 26a dieses Gesetzes sowie Artikel 430 Absatz 1 Unterabsatz 1 Buchstabe h und die Artikel 431 bis 455 der Verordnung (EU) Nr. 575/2013 nicht anzuwenden. Kreditinstitute nach Satz 1 sind für die Zwecke des § 25a Absatz 5a und 5b sowie der Institutsvergütungsverordnung nicht als bedeutende Institute im Sinne des § 1 Absatz 3c einzustufen, wenn ihre Bilanzsumme im Durchschnitt zu den jeweiligen Stichtagen der letzten vier abgeschlossenen Geschäftsjahre 70 Milliarden Euro nicht überschritten hat.</w:t>
      </w:r>
    </w:p>
    <w:p>
      <w:r>
        <w:t xml:space="preserve">(10) Ein Unternehmen mit Sitz im Inland, das keine Bankgeschäfte im Sinne des § 1 Absatz 1 Satz 2 betreibt und das als Finanzdienstleistungen nur die Anlagevermittlung, die Anlageberatung oder das Platzierungsgeschäft erbringt und dies ausschließlich für Rechnung und unter der Haftung eines CRR-Kreditinstituts, das seinen Sitz im Inland hat oder nach § 53b Absatz 1 Satz 1 oder Absatz 7 im Inland tätig ist (vertraglich gebundener Vermittler), gilt nicht als Finanzdienstleistungsinstitut, sondern als Finanzunternehmen, wenn das CRR-Institut dies der Bundesanstalt zuvor angezeigt hat. Die Tätigkeit des vertraglich gebundenen Vermittlers wird dem haftenden Unternehmen zugerechnet. Ändern sich die von dem haftenden Unternehmen angezeigten Verhältnisse, sind die neuen Verhältnisse unverzüglich der Bundesanstalt anzuzeigen. Für den Inhalt der Anzeigen nach den Sätzen 1 und 3 und die beizufügenden Unterlagen und Nachweise können durch Rechtsverordnung nach § 24 Abs. 4 nähere Bestimmungen getroffen werden. Die Bundesanstalt führt über die ihr angezeigten vertraglich gebundenen Vermittler nach diesem Absatz ein öffentliches Register im Internet, das das haftende Unternehmen, die vertraglich gebundenen Vermittler, das Datum des Beginns und des Endes der Tätigkeit nach Satz 1 ausweist. Für die Voraussetzungen zur Aufnahme in das Register, den Inhalt und die Führung des Registers können durch Rechtsverordnung nach § 24 Abs. 4 nähere Bestimmungen getroffen werden, insbesondere kann dem haftenden Unternehmen ein schreibender Zugriff auf die für dieses Unternehmen einzurichtende Seite des Registers eingeräumt und ihm die Verantwortlichkeit für die Richtigkeit und Aktualität dieser Seite übertragen werden. Die Bundesanstalt kann einem haftenden Unternehmen, das die Auswahl oder Überwachung seiner vertraglich gebundenen Vermittler nicht ordnungsgemäß durchgeführt hat oder die ihm im Zusammenhang mit der Führung des Registers übertragenen Pflichten verletzt hat, untersagen, vertraglich gebundene Vermittler im Sinne der Sätze 1 und 2 in das Unternehmen einzubinden.</w:t>
      </w:r>
    </w:p>
    <w:p>
      <w:r>
        <w:t xml:space="preserve">(11) (weggefallen)</w:t>
      </w:r>
    </w:p>
    <w:p>
      <w:r>
        <w:t xml:space="preserve">(12) Für Betreiber organisierter Märkte mit Sitz im Ausland, die als einzige Finanzdienstleistung ein multilaterales oder organisiertes Handelssystem im Inland betreiben, gelten die Anforderungen der §§ 25a, 25b und 33 Abs. 1 Nr. 1 bis 4 sowie die Anzeigepflichten nach § 2c Abs. 1 und 4 sowie § 24 Absatz 1 Nummer 1 und 2 und Abs. 1a Nr. 2 entsprechend. Die in Satz 1 genannten Anforderungen gelten entsprechend auch für Träger einer inländischen Börse, die außer dem Freiverkehr nach § 48 des Börsengesetzes oder einem organisierten Handelssystem nach § 48b des Börsengesetzes als einzige Finanzdienstleistung ein multilaterales oder organisiertes Handelsystem im Inland betreiben. Es wird vermutet, dass Geschäftsführer einer inländischen Börse und Personen, die die Geschäfte eines ausländischen organisierten Marktes tatsächlich leiten, den Anforderungen nach § 33 Abs. 1 Nr. 2 und 4 genügen. Die Befugnisse der Bundesanstalt nach den §§ 2c und 25a Absatz 2 Satz 1 sowie den §§ 44 bis 46h gelten entsprechend. Die Bundesanstalt kann den in Satz 1 genannten Personen den Betrieb eines multilateralen oder organisierten Handelssystems in den Fällen des § 35 Absatz 2 Nummer 4 und 6 sowie dann untersagen, wenn sie die Anforderungen des § 33 Abs. 1 Satz 1 Nr. 1 bis 4 nicht erfüllen. Die in Satz 1 genannten Personen haben der Bundesanstalt die Aufnahme des Betriebs unverzüglich anzuzeigen.</w:t>
      </w:r>
    </w:p>
    <w:p>
      <w:r>
        <w:rPr>
          <w:color w:val="555555"/>
          <w:sz w:val="17"/>
        </w:rPr>
        <w:t xml:space="preserve">Zitiervorschlag: § 2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