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KredWG — Kreditunterlagen</w:t>
      </w:r>
    </w:p>
    <w:p>
      <w:r>
        <w:rPr>
          <w:color w:val="555555"/>
          <w:sz w:val="18"/>
        </w:rPr>
        <w:t xml:space="preserve">Kreditwesengesetz</w:t>
      </w:r>
    </w:p>
    <w:p>
      <w:r>
        <w:rPr>
          <w:color w:val="555555"/>
          <w:sz w:val="18"/>
        </w:rPr>
        <w:t xml:space="preserve">Stand: 01.04.2026 (konsolidierte Textfassung, kein amtliches Inkrafttretensdatum)</w:t>
      </w:r>
    </w:p>
    <w:p>
      <w:r>
        <w:t xml:space="preserve">Ein Kreditinstitut darf einen Kredit, der insgesamt 1 500 000 Euro oder 10 Prozent seines Kernkapitals nach Artikel 25 der Verordnung (EU) Nr. 575/2013 in der Fassung vom 17. Juni 2025 überschreitet, nur gewähren, wenn es sich von dem Kreditnehmer die wirtschaftlichen Verhältnisse, insbesondere durch Vorlage der Jahresabschlüsse, offenlegen lässt. Das Kreditinstitut kann hiervon absehen, wenn das Verlangen nach Offenlegung im Hinblick auf die gestellten Sicherheiten oder auf die Mitverpflichteten offensichtlich unbegründet wäre. Das Kreditinstitut kann von der laufenden Offenlegung absehen, wenn</w:t>
      </w:r>
    </w:p>
    <w:p>
      <w:pPr>
        <w:ind w:left="420"/>
      </w:pPr>
      <w:r>
        <w:t xml:space="preserve">1. der Kredit durch Grundpfandrechte auf Wohneigentum, das vom Kreditnehmer selbst genutzt wird, gesichert ist,</w:t>
      </w:r>
    </w:p>
    <w:p>
      <w:pPr>
        <w:ind w:left="420"/>
      </w:pPr>
      <w:r>
        <w:t xml:space="preserve">2. der Kredit vier Fünftel des Beleihungswertes des Pfandobjektes im Sinne des § 16 Abs. 1 und 2 des Pfandbriefgesetzes nicht übersteigt und</w:t>
      </w:r>
    </w:p>
    <w:p>
      <w:pPr>
        <w:ind w:left="420"/>
      </w:pPr>
      <w:r>
        <w:t xml:space="preserve">3. der Kreditnehmer die von ihm geschuldeten Zins- und Tilgungsleistungen störungsfrei erbringt.</w:t>
      </w:r>
    </w:p>
    <w:p>
      <w:r>
        <w:t xml:space="preserve">Eine Offenlegung ist nicht erforderlich bei Krediten an</w:t>
      </w:r>
    </w:p>
    <w:p>
      <w:pPr>
        <w:ind w:left="420"/>
      </w:pPr>
      <w:r>
        <w:t xml:space="preserve">1. Zentralregierungen oder Zentralnotenbanken im Ausland, den Bund, die Deutsche Bundesbank oder ein rechtlich unselbständiges Sondervermögen des Bundes, wenn sie ungesichert ein Kreditrisiko-Standardansatz-Risikogewicht (KSA-Risikogewicht) von 0 Prozent erhalten würden,</w:t>
      </w:r>
    </w:p>
    <w:p>
      <w:pPr>
        <w:ind w:left="420"/>
      </w:pPr>
      <w:r>
        <w:t xml:space="preserve">2. multilaterale Entwicklungsbanken oder internationale Organisationen, wenn sie ungesichert ein KSA-Risikogewicht von 0 Prozent erhalten würden, oder</w:t>
      </w:r>
    </w:p>
    <w:p>
      <w:pPr>
        <w:ind w:left="420"/>
      </w:pPr>
      <w:r>
        <w:t xml:space="preserve">3. Regionalregierungen oder örtliche Gebietskörperschaften in einem anderen Staat des Europäischen Wirtschaftsraums, ein Land, eine Gemeinde, einen Gemeindeverband, ein rechtlich unselbständiges Sondervermögen eines Landes, einer Gemeinde oder eines Gemeindeverbandes oder Einrichtungen des öffentlichen Bereichs, wenn sie ungesichert ein KSA-Risikogewicht von 0 Prozent erhalten würden.</w:t>
      </w:r>
    </w:p>
    <w:p>
      <w:r>
        <w:rPr>
          <w:color w:val="555555"/>
          <w:sz w:val="17"/>
        </w:rPr>
        <w:t xml:space="preserve">Zitiervorschlag: § 18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