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KredWG — Organtransaktionen</w:t>
      </w:r>
    </w:p>
    <w:p>
      <w:r>
        <w:rPr>
          <w:color w:val="555555"/>
          <w:sz w:val="18"/>
        </w:rPr>
        <w:t xml:space="preserve">Kreditwesengesetz</w:t>
      </w:r>
    </w:p>
    <w:p>
      <w:r>
        <w:rPr>
          <w:color w:val="555555"/>
          <w:sz w:val="18"/>
        </w:rPr>
        <w:t xml:space="preserve">Stand: 01.04.2026 (konsolidierte Textfassung, kein amtliches Inkrafttretensdatum)</w:t>
      </w:r>
    </w:p>
    <w:p>
      <w:r>
        <w:t xml:space="preserve">(1) Kredite an</w:t>
      </w:r>
    </w:p>
    <w:p>
      <w:pPr>
        <w:ind w:left="420"/>
      </w:pPr>
      <w:r>
        <w:t xml:space="preserve">1. Geschäftsleiter des Instituts,</w:t>
      </w:r>
    </w:p>
    <w:p>
      <w:pPr>
        <w:ind w:left="420"/>
      </w:pPr>
      <w:r>
        <w:t xml:space="preserve">2. nicht zu den Geschäftsleitern gehörende Gesellschafter des Instituts, wenn dieses in der Rechtsform einer Personenhandelsgesellschaft oder der Gesellschaft mit beschränkter Haftung betrieben wird, sowie an persönlich haftende Gesellschafter eines in der Rechtsform der Kommanditgesellschaft auf Aktien betriebenen Instituts, die nicht Geschäftsleiter sind,</w:t>
      </w:r>
    </w:p>
    <w:p>
      <w:pPr>
        <w:ind w:left="420"/>
      </w:pPr>
      <w:r>
        <w:t xml:space="preserve">3. Mitglieder eines Aufsichtsorgans,</w:t>
      </w:r>
    </w:p>
    <w:p>
      <w:pPr>
        <w:ind w:left="420"/>
      </w:pPr>
      <w:r>
        <w:t xml:space="preserve">4. Prokuristen und zum gesamten Geschäftsbetrieb ermächtigte Handlungsbevollmächtigte des Instituts,</w:t>
      </w:r>
    </w:p>
    <w:p>
      <w:pPr>
        <w:ind w:left="420"/>
      </w:pPr>
      <w:r>
        <w:t xml:space="preserve">5. Ehegatten, Lebenspartner, Kinder und Eltern der in den Nummern 1 bis 4 genannten Personen,</w:t>
      </w:r>
    </w:p>
    <w:p>
      <w:pPr>
        <w:ind w:left="420"/>
      </w:pPr>
      <w:r>
        <w:t xml:space="preserve">6. stille Gesellschafter des Instituts,</w:t>
      </w:r>
    </w:p>
    <w:p>
      <w:pPr>
        <w:ind w:left="420"/>
      </w:pPr>
      <w:r>
        <w:t xml:space="preserve">7. Unternehmen in der Rechtsform einer juristischen Person oder einer Personenhandelsgesellschaft, wenn ein Geschäftsleiter, ein Prokurist oder ein zum gesamten Geschäftsbetrieb ermächtigter Handlungsbevollmächtigter des Instituts oder dessen Ehegatte, Lebenspartner, Kind oder Elternteil gesetzlicher Vertreter oder Mitglied des Aufsichtsorgans der juristischen Person oder Gesellschafter der Personenhandelsgesellschaft ist,</w:t>
      </w:r>
    </w:p>
    <w:p>
      <w:pPr>
        <w:ind w:left="420"/>
      </w:pPr>
      <w:r>
        <w:t xml:space="preserve">8. Unternehmen in der Rechtsform einer juristischen Person oder einer Personenhandelsgesellschaft, wenn ein gesetzlicher Vertreter der juristischen Person, ein Gesellschafter der Personenhandelsgesellschaft, ein Prokurist oder ein zum gesamten Geschäftsbetrieb ermächtigter Handlungsbevollmächtigter dieses Unternehmens dem Aufsichtsorgan des Instituts angehört,</w:t>
      </w:r>
    </w:p>
    <w:p>
      <w:pPr>
        <w:ind w:left="420"/>
      </w:pPr>
      <w:r>
        <w:t xml:space="preserve">9. Unternehmen, an denen das Institut oder eine der in den Nummern 1 bis 5 genannten Personen eine bedeutende Beteiligung hält oder bei denen das Institut oder eine der in den Nummern 1 bis 5 genannten Personen persönlich haftender Gesellschafter ist,</w:t>
      </w:r>
    </w:p>
    <w:p>
      <w:pPr>
        <w:ind w:left="420"/>
      </w:pPr>
      <w:r>
        <w:t xml:space="preserve">10. Unternehmen, die an dem Institut mit mehr als 10 vom Hundert des Kapitals des Instituts beteiligt sind,</w:t>
      </w:r>
    </w:p>
    <w:p>
      <w:pPr>
        <w:ind w:left="420"/>
      </w:pPr>
      <w:r>
        <w:t xml:space="preserve">11. Unternehmen in der Rechtsform einer juristischen Person oder einer Personenhandelsgesellschaft, wenn ein gesetzlicher Vertreter der juristischen Person oder ein Gesellschafter der Personenhandelsgesellschaft an dem Institut mit mehr als 10 vom Hundert des Kapitals beteiligt ist und</w:t>
      </w:r>
    </w:p>
    <w:p>
      <w:pPr>
        <w:ind w:left="420"/>
      </w:pPr>
      <w:r>
        <w:t xml:space="preserve">12. persönlich haftende Gesellschafter, Geschäftsführer, Mitglieder des Vorstands oder des Aufsichtsorgans, Prokuristen und an zum gesamten Geschäftsbetrieb ermächtigte Handlungsbevollmächtigte eines von dem Institut abhängigen Unternehmens oder das Institut beherrschenden Unternehmens sowie ihre Ehegatten, Lebenspartner, Kinder und Eltern,</w:t>
      </w:r>
    </w:p>
    <w:p>
      <w:r>
        <w:t xml:space="preserve">(Organkredite) dürfen nur auf Grund eines einstimmigen Beschlusses sämtlicher Geschäftsleiter des Instituts und außer im Rahmen von Mitarbeiterprogrammen nur zu marktmäßigen Bedingungen und nur mit ausdrücklicher Zustimmung des Aufsichtsorgans, im Falle der Nummer 12 des Aufsichtsorgans des das Institut beherrschenden Unternehmens, gewährt werden; die vorstehenden Bestimmungen für Personenhandelsgesellschaften sind auf Partnerschaften entsprechend anzuwenden. Geschäftsleiter und Mitglieder des Aufsichtsorgans, bei denen ein Interessenkonflikt besteht, dürfen an der Fassung der Beschlüsse nach Satz 1 und deren Vorbereitung nicht mitwirken. Auf einen einstimmigen Beschluss sämtlicher Geschäftsleiter sowie die ausdrückliche Zustimmung des Aufsichtsorgans kann verzichtet werden, wenn für einen Kredit an ein Unternehmen nach Satz 1 Nr. 9 und 10 gemäß Artikel 113 der Verordnung (EU) Nr. 575/2013 ein KSA-Risikogewicht von null vom Hundert verwendet werden kann. Als Beteiligung im Sinne des Satzes 1 Nummer 10 und 11 gilt jeder Besitz von Aktien oder Geschäftsanteilen des Unternehmens, wenn er mindestens ein Viertel des Kapitals (Nennkapital, Summe der Kapitalanteile) erreicht, ohne daß es auf die Dauer des Besitzes ankommt. Der Gewährung eines Kredits steht die Gestattung von Entnahmen gleich, die über die einem Geschäftsleiter oder einem Mitglied des Aufsichtsorgans zustehenden Vergütungen hinausgehen, insbesondere auch die Gestattung der Entnahme von Vorschüssen auf Vergütungen. Organkredite, die nicht zu marktmäßigen Bedingungen gewährt werden, sind auf Anordnung der Bundesanstalt mit hartem Kernkapital nach Artikel 26 der Verordnung (EU) Nr. 575/2013 in der jeweils geltenden Fassung zu unterlegen.</w:t>
      </w:r>
    </w:p>
    <w:p>
      <w:r>
        <w:t xml:space="preserve">(2) Die Bundesanstalt kann für die Gewährung von Organkrediten im Einzelfall Obergrenzen anordnen; dieses Recht besteht auch, nachdem der Organkredit gewährt worden ist. Organkredite, die die von der Bundesanstalt angeordneten Obergrenzen überschreiten, sind auf weitere Anordnung der Bundesanstalt auf die angeordneten Obergrenzen zurückzuführen; in der Zwischenzeit sind sie mit hartem Kernkapital nach Artikel 26 der Verordnung (EU) Nr. 575/2013 in der jeweils geltenden Fassung zu unterlegen.</w:t>
      </w:r>
    </w:p>
    <w:p>
      <w:r>
        <w:t xml:space="preserve">(3) Absatz 1 gilt nicht</w:t>
      </w:r>
    </w:p>
    <w:p>
      <w:pPr>
        <w:ind w:left="420"/>
      </w:pPr>
      <w:r>
        <w:t xml:space="preserve">1. für Kredite an Prokuristen und zum gesamten Geschäftsbetrieb ermächtigte Handlungsbevollmächtigte sowie an ihre Ehegatten, Lebenspartner, Kinder und Eltern, wenn der Kredit ein Jahresgehalt des Prokuristen oder des Handlungsbevollmächtigten nicht übersteigt,</w:t>
      </w:r>
    </w:p>
    <w:p>
      <w:pPr>
        <w:ind w:left="420"/>
      </w:pPr>
      <w:r>
        <w:t xml:space="preserve">2. für Kredite an in Absatz 1 Satz 1 Nummer 6 bis 11 genannte Personen oder Unternehmen, wenn der Kredit weniger als 1 Prozent der nach Artikel 4 Absatz 1 Nummer 71 Buchstabe b der Verordnung (EU) Nr. 575/2013 anrechenbaren Eigenmittel des Instituts oder weniger als 100 000 Euro beträgt,</w:t>
      </w:r>
    </w:p>
    <w:p>
      <w:pPr>
        <w:ind w:left="420"/>
      </w:pPr>
      <w:r>
        <w:t xml:space="preserve">3. für Kredite, die um nicht mehr als 10 Prozent des nach Absatz 1 Satz 1 beschlossenen Betrages erhöht werden, und</w:t>
      </w:r>
    </w:p>
    <w:p>
      <w:pPr>
        <w:ind w:left="420"/>
      </w:pPr>
      <w:r>
        <w:t xml:space="preserve">4. für Kredite an in Absatz 1 Satz 1 Nummer 1 bis 5 und 12 genannte Personen in Höhe von bis zu 20 000 Euro, wenn die Gewährung ausschließlich im Rahmen vollautomatisierter Kreditentscheidungen erfolgt und gewährleistet ist, dass das Organschaftsverhältnis nach Absatz 1 Satz 1 keinen Einfluss auf die Kreditkonditionen hat.</w:t>
      </w:r>
    </w:p>
    <w:p>
      <w:r>
        <w:t xml:space="preserve">(4) Der Beschluß der Geschäftsleiter und der Beschluß über die Zustimmung sind vor der Gewährung des Kredits zu fassen. Die Beschlüsse müssen Bestimmungen über die Verzinsung und Rückzahlung des Kredits enthalten. Sie sind aktenkundig zu machen. Ist die Gewährung eines Kredits nach Absatz 1 Satz 1 Nr. 6 bis 11 eilbedürftig, genügt es, daß sämtliche Geschäftsleiter sowie das Aufsichtsorgan der Kreditgewährung unverzüglich nachträglich zustimmen. Ist der Beschluß der Geschäftsleiter nicht innerhalb von zwei Monaten oder der Beschluß des Aufsichtsorgans nicht innerhalb von vier Monaten, jeweils vom Tage der Kreditgewährung an gerechnet, nachgeholt, hat das Institut dies der Bundesanstalt unverzüglich anzuzeigen. Der Beschluß der Geschäftsleiter und der Beschluß über die Zustimmung zu Krediten an die in Absatz 1 Satz 1 Nr. 1 bis 5 und 12 genannten Personen können für bestimmte Kreditgeschäfte und Arten von Kreditgeschäften im voraus, jedoch nicht für länger als ein Jahr gefaßt werden.</w:t>
      </w:r>
    </w:p>
    <w:p>
      <w:r>
        <w:t xml:space="preserve">(5) Wird entgegen Absatz 1 oder 4 ein Kredit an eine in Absatz 1 Satz 1 Nr. 1 bis 5 und 12 genannte Person gewährt, so ist dieser Kredit ohne Rücksicht auf entgegenstehende Vereinbarungen sofort zurückzuzahlen, wenn nicht sämtliche Geschäftsleiter sowie das Aufsichtsorgan der Kreditgewährung unverzüglich nachträglich zustimmen.</w:t>
      </w:r>
    </w:p>
    <w:p>
      <w:r>
        <w:t xml:space="preserve">(6) Für Geschäfte des Instituts, die keine Kredite im Sinne von § 21 Absatz 1 sind, mit Personen oder Unternehmen nach Absatz 1 Satz 1 Nummer 1 bis 12 (Organgeschäfte) und für Ausbuchungen von Forderungen an diese Personen oder Unternehmen gelten Absatz 1 Satz 1 bis 4, die Absätze 3 und 4, § 19 Absatz 3 sowie § 21 Absatz 2 Nummer 1 und Absatz 3 Nummer 3 entsprechend. Auf ein Organgeschäft mit Personen nach Absatz 1 Satz 1 Nummer 1 bis 5 und Nummer 12 ist Absatz 1 nicht anzuwenden, wenn das Gesamtvolumen der Organgeschäfte innerhalb des Kalenderjahres bis zum Zeitpunkt des jeweiligen Geschäfts 100 000 Euro nicht übersteigt. Abweichend von Absatz 4 Satz 6 sind Vorratsbeschlüsse für Organgeschäfte nicht auf den Personenkreis gemäß Absatz 1 Satz 1 Nummer 1 bis 5 und 12 beschränkt.</w:t>
      </w:r>
    </w:p>
    <w:p>
      <w:r>
        <w:rPr>
          <w:color w:val="555555"/>
          <w:sz w:val="17"/>
        </w:rPr>
        <w:t xml:space="preserve">Zitiervorschlag: § 15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