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KredWG — Potentiell systemrelevante Institute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Die Aufsichtsbehörde bestimmt jährlich im Einvernehmen mit der Deutschen Bundesbank, welche Institute, Mutterinstitute, Mutterfinanzholding-Gesellschaften, gemischten Finanzholding-Gesellschaften, EU-Mutterinstitute, EU-Mutterfinanzholding-Gesellschaften oder gemischten EU-Mutterfinanzholding-Gesellschaften mit Sitz im Inland potentiell systemrelevant sind. Die vorgenannten Institute und Gesellschaften sind potentiell systemrelevant, wenn sie</w:t>
      </w:r>
    </w:p>
    <w:p>
      <w:pPr>
        <w:ind w:left="420"/>
      </w:pPr>
      <w:r>
        <w:t xml:space="preserve">1. ein global systemrelevantes Institut nach § 10f sind oder</w:t>
      </w:r>
    </w:p>
    <w:p>
      <w:pPr>
        <w:ind w:left="420"/>
      </w:pPr>
      <w:r>
        <w:t xml:space="preserve">2. ein anderweitig systemrelevantes Institut nach § 10g sind oder</w:t>
      </w:r>
    </w:p>
    <w:p>
      <w:pPr>
        <w:ind w:left="420"/>
      </w:pPr>
      <w:r>
        <w:t xml:space="preserve">3. aus sonstigen Gründen, insbesondere auf Grund der Größe, der Verflechtung, des Umfangs und der Komplexität oder der Art der Geschäftstätigkeit, als solches zu bestimmen sind.</w:t>
      </w:r>
    </w:p>
    <w:p>
      <w:r>
        <w:rPr>
          <w:color w:val="555555"/>
          <w:sz w:val="17"/>
        </w:rPr>
        <w:t xml:space="preserve">Zitiervorschlag: § 12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