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KredWG — Liquidität; Verordnungsermächtigung</w:t>
      </w:r>
    </w:p>
    <w:p>
      <w:r>
        <w:rPr>
          <w:color w:val="555555"/>
          <w:sz w:val="18"/>
        </w:rPr>
        <w:t xml:space="preserve">Kreditwesengesetz</w:t>
      </w:r>
    </w:p>
    <w:p>
      <w:r>
        <w:rPr>
          <w:color w:val="555555"/>
          <w:sz w:val="18"/>
        </w:rPr>
        <w:t xml:space="preserve">Stand: 01.04.2026 (konsolidierte Textfassung, kein amtliches Inkrafttretensdatum)</w:t>
      </w:r>
    </w:p>
    <w:p>
      <w:r>
        <w:t xml:space="preserve">(1) Die Institute müssen ihre Mittel so anlegen, dass jederzeit eine ausreichende Zahlungsfähigkeit (Liquidität) gewährleistet ist. Das Bundesministerium der Finanzen wird ermächtigt, durch Rechtsverordnung im Benehmen mit der Deutschen Bundesbank nähere Anforderungen an die ausreichende Liquidität zu bestimmen, insbesondere über die</w:t>
      </w:r>
    </w:p>
    <w:p>
      <w:pPr>
        <w:ind w:left="420"/>
      </w:pPr>
      <w:r>
        <w:t xml:space="preserve">1. Methoden zur Beurteilung der ausreichenden Liquidität und die dafür erforderlichen technischen Grundsätze,</w:t>
      </w:r>
    </w:p>
    <w:p>
      <w:pPr>
        <w:ind w:left="420"/>
      </w:pPr>
      <w:r>
        <w:t xml:space="preserve">2. als Zahlungsmittel und Zahlungsverpflichtungen zu berücksichtigenden Geschäfte einschließlich ihrer Bemessungsgrundlagen sowie</w:t>
      </w:r>
    </w:p>
    <w:p>
      <w:pPr>
        <w:ind w:left="420"/>
      </w:pPr>
      <w:r>
        <w:t xml:space="preserve">3. Pflicht der Institute zur Übermittlung der zum Nachweis der ausreichenden Liquidität erforderlichen Angaben an die Aufsichtsbehörde und die Deutsche Bundesbank, einschließlich Bestimmungen zu Inhalt, Art, Umfang und Form der Angaben, zu der Häufigkeit ihrer Übermittlung und über die zulässigen Datenträger, Übertragungswege und Datenformate.</w:t>
      </w:r>
    </w:p>
    <w:p>
      <w:r>
        <w:t xml:space="preserve">In der Rechtsverordnung ist an die Definition der Spareinlagen aus § 21 Abs. 4 der Kreditinstituts-Rechnungslegungsverordnung anzuknüpfen. Das Bundesministerium der Finanzen kann die Ermächtigung durch Rechtsverordnung auf die Bundesanstalt mit der Maßgabe übertragen, dass die Rechtsverordnung im Einvernehmen mit der Deutschen Bundesbank ergeht. Vor Erlass der Rechtsverordnung sind die Spitzenverbände der Institute zu hören.</w:t>
      </w:r>
    </w:p>
    <w:p>
      <w:r>
        <w:t xml:space="preserve">(2) Die Bundesanstalt kann bei der Beurteilung der Liquidität im Einzelfall gegenüber Instituten über die in der Rechtsverordnung nach Absatz 1 festgelegten Vorgaben hinausgehende Liquiditätsanforderungen anordnen, wenn ohne eine solche Maßnahme die nachhaltige Liquidität eines Instituts nicht gesichert ist.</w:t>
      </w:r>
    </w:p>
    <w:p>
      <w:r>
        <w:t xml:space="preserve">(3) Die Bundesanstalt kann bei der Beurteilung der Liquidität im Einzelfall gegenüber Instituten, Institutsgruppen, Finanzholding-Gruppen und gemischten Finanzholding-Gruppen spezifische über die Anforderungen der Artikel 411 bis 428az der Verordnung (EU) Nr. 575/2013 in der jeweils geltenden Fassung hinausgehende Liquiditätsanforderungen anordnen, um spezifische Risiken abzudecken, denen ein Institut ausgesetzt ist oder ausgesetzt sein könnte. Die Bundesanstalt beachtet dabei die in Artikel 105 der Richtlinie 2013/36/EU in der jeweils geltenden Fassung aufgeführten Erwägungsgründe. Die Bundesanstalt kann darüber hinaus auch die Fristentransformation einschränken. § 10a Absatz 1 und 2 gilt entsprechend.</w:t>
      </w:r>
    </w:p>
    <w:p>
      <w:r>
        <w:t xml:space="preserve">(4) Die Bundesanstalt kann anordnen, dass ein Institut, eine Institutsgruppe, eine Finanzholding-Gruppe oder eine gemischte Finanzholding-Gruppe häufigere oder auch umfangreichere Meldungen zu seiner Liquidität einzureichen hat.</w:t>
      </w:r>
    </w:p>
    <w:p>
      <w:r>
        <w:rPr>
          <w:color w:val="555555"/>
          <w:sz w:val="17"/>
        </w:rPr>
        <w:t xml:space="preserve">Zitiervorschlag: § 11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