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10h KredWG — Zusammenwirken der Kapitalpuffer für systemische Risiken, für global systemrelevante Institute und für anderweitig systemrelevante Institute</w:t>
      </w:r>
    </w:p>
    <w:p>
      <w:r>
        <w:rPr>
          <w:color w:val="555555"/>
          <w:sz w:val="18"/>
        </w:rPr>
        <w:t xml:space="preserve">Kreditwesengesetz</w:t>
      </w:r>
    </w:p>
    <w:p>
      <w:r>
        <w:rPr>
          <w:color w:val="555555"/>
          <w:sz w:val="18"/>
        </w:rPr>
        <w:t xml:space="preserve">Stand: 10.04.2026 (konsolidierte Textfassung, kein amtliches Inkrafttretensdatum)</w:t>
      </w:r>
    </w:p>
    <w:p>
      <w:r>
        <w:t xml:space="preserve">(1) Solange neben einem Kapitalpuffer für global systemrelevante Institute nach § 10f auch ein Kapitalpuffer für anderweitig systemrelevante Institute nach § 10g auf konsolidierter Ebene besteht, ist nur der höhere der beiden Kapitalpuffer einzuhalten.</w:t>
      </w:r>
    </w:p>
    <w:p>
      <w:r>
        <w:t xml:space="preserve">(2) Besteht neben einem Kapitalpuffer für global systemrelevante Institute nach § 10f oder einem Kapitalpuffer für anderweitig systemrelevante Institute nach § 10g auch ein Kapitalpuffer für systemische Risiken nach § 10e, so sind diese Kapitalpuffer kumulativ einzuhalten. Beträgt die Summe der kumulativ einzuhaltenden Puffer nach Satz 1 mehr als 5 Prozentpunkte, verfährt die Bundesanstalt gemäß den Vorgaben nach § 10g Absatz 1a. Satz 2 gilt nicht, wenn bei der Anordnung, einen Kapitalpuffer für systemische Risiken nach § 10e, einen Kapitalpuffer für global systemrelevante Institute nach § 10f oder einen Kapitalpuffer für anderweitig systemrelevante Institute nach § 10g vorhalten zu müssen, die jeweils zuvor festgesetzte Quote entweder unterschritten wird oder unverändert bleibt.</w:t>
      </w:r>
    </w:p>
    <w:p>
      <w:r>
        <w:t xml:space="preserve">(3) (weggefallen)</w:t>
      </w:r>
    </w:p>
    <w:p>
      <w:r>
        <w:t xml:space="preserve">(4) (weggefallen)</w:t>
      </w:r>
    </w:p>
    <w:p>
      <w:r>
        <w:rPr>
          <w:color w:val="555555"/>
          <w:sz w:val="17"/>
        </w:rPr>
        <w:t xml:space="preserve">Zitiervorschlag: § 10h KredWG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https://recht.nulegal.eu/gesetze/KredWG/10h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