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10c KredWG — Kapitalerhaltungspuffer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29.12.2020 (konsolidierte Textfassung, kein amtliches Inkrafttretensdatum)</w:t>
      </w:r>
    </w:p>
    <w:p>
      <w:r>
        <w:t xml:space="preserve">(1) Ein Institut muss einen aus hartem Kernkapital bestehenden Kapitalerhaltungspuffer vorhalten. Seine Höhe beträgt 2,5 Prozent des nach Artikel 92 Absatz 3 der Verordnung (EU) Nr. 575/2013 ermittelten Gesamtrisikobetrags.</w:t>
      </w:r>
    </w:p>
    <w:p>
      <w:r>
        <w:t xml:space="preserve">(2) Absatz 1 gilt entsprechend für Institutsgruppen, Finanzholding-Gruppen und gemischte Finanzholding-Gruppen, denen mindestens ein Institut angehört, das die Anforderung in Absatz 1 auf Einzelinstitutsebene erfüllen muss, sowie für Institute im Sinne des Artikels 22 der Verordnung (EU) Nr. 575/2013.</w:t>
      </w:r>
    </w:p>
    <w:p>
      <w:r>
        <w:rPr>
          <w:color w:val="555555"/>
          <w:sz w:val="17"/>
        </w:rPr>
        <w:t xml:space="preserve">Zitiervorschlag: § 10c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https://recht.nulegal.eu/gesetze/KredWG/10c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