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10b KredWG — Verhältnis der Kapitalpufferanforderungen zu anderen Kapitalanforderungen und zur Eigenmittelempfehlung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Zur Erfüllung der Kapitalpufferanforderungen nach den §§ 10c bis 10g dürfen die Institute kein hartes Kernkapital verwenden, das erforderlich ist zur</w:t>
      </w:r>
    </w:p>
    <w:p>
      <w:pPr>
        <w:ind w:left="420"/>
      </w:pPr>
      <w:r>
        <w:t xml:space="preserve">1. Einhaltung der Eigenmittelanforderung nach Artikel 92 Absatz 1 Buchstabe a bis c der Verordnung (EU) Nr. 575/2013,</w:t>
      </w:r>
    </w:p>
    <w:p>
      <w:pPr>
        <w:ind w:left="420"/>
      </w:pPr>
      <w:r>
        <w:t xml:space="preserve">2. Unterlegung der risikobasierten Komponente der Anforderungen nach den Artikeln 92a und 92b der Verordnung (EU) Nr. 575/2013,</w:t>
      </w:r>
    </w:p>
    <w:p>
      <w:pPr>
        <w:ind w:left="420"/>
      </w:pPr>
      <w:r>
        <w:t xml:space="preserve">3. Einhaltung der zusätzlichen Eigenmittelanforderungen nach § 6c,</w:t>
      </w:r>
    </w:p>
    <w:p>
      <w:pPr>
        <w:ind w:left="420"/>
      </w:pPr>
      <w:r>
        <w:t xml:space="preserve">4. Einhaltung der Eigenmittelempfehlung nach § 6d,</w:t>
      </w:r>
    </w:p>
    <w:p>
      <w:pPr>
        <w:ind w:left="420"/>
      </w:pPr>
      <w:r>
        <w:t xml:space="preserve">5. Einhaltung der erhöhten Eigenmittelanforderungen nach § 10 Absatz 3,</w:t>
      </w:r>
    </w:p>
    <w:p>
      <w:pPr>
        <w:ind w:left="420"/>
      </w:pPr>
      <w:r>
        <w:t xml:space="preserve">6. Einhaltung der erhöhten Eigenmittelanforderungen nach § 10 Absatz 4,</w:t>
      </w:r>
    </w:p>
    <w:p>
      <w:pPr>
        <w:ind w:left="420"/>
      </w:pPr>
      <w:r>
        <w:t xml:space="preserve">7. Einhaltung einer der anderen anwendbaren Kapitalpufferanforderungen nach den §§ 10c bis 10g und</w:t>
      </w:r>
    </w:p>
    <w:p>
      <w:pPr>
        <w:ind w:left="420"/>
      </w:pPr>
      <w:r>
        <w:t xml:space="preserve">8. Einhaltung der Eigenmittelanforderung gemäß den §§ 49 bis 51 des Sanierungs- und Abwicklungsgesetzes.</w:t>
      </w:r>
    </w:p>
    <w:p>
      <w:r>
        <w:t xml:space="preserve">Satz 1 gilt entsprechend für Institutsgruppen, Finanzholding-Gruppen und gemischte Finanzholding-Gruppen, denen mindestens ein Institut angehört, das die Anforderung nach Satz 1 auf Einzelinstitutsebene erfüllen muss, sowie für Institute im Sinne des Artikels 22 der Verordnung (EU) Nr. 575/2013.</w:t>
      </w:r>
    </w:p>
    <w:p>
      <w:r>
        <w:rPr>
          <w:color w:val="555555"/>
          <w:sz w:val="17"/>
        </w:rPr>
        <w:t xml:space="preserve">Zitiervorschlag: § 10b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https://recht.nulegal.eu/gesetze/KredWG/10b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