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KredReorgG — Umwandlung von Forderungen in Eigenkapital</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Im gestaltenden Teil des Reorganisationsplans kann vorgesehen werden, dass Forderungen von Gläubigern in Anteile am Kreditinstitut umgewandelt werden. Eine Umwandlung gegen den Willen der betroffenen Gläubiger ist ausgeschlossen. Insbesondere kann der Reorganisationsplan eine Kapitalherabsetzung oder -erhöhung, die Leistung von Sacheinlagen oder den Ausschluss von Bezugsrechten vorsehen. Zugunsten der in Satz 1 genannten Gläubiger ist § 39 Absatz 4 Satz 2 und Absatz 5 der Insolvenzordnung entsprechend anzuwenden.</w:t>
      </w:r>
    </w:p>
    <w:p>
      <w:r>
        <w:t xml:space="preserve">(2) Für eine Maßnahme im Sinne des Absatzes 1 hat das Kreditinstitut den bisherigen Anteilsinhabern eine angemessene Entschädigung zu leisten. Die Angemessenheit der Entschädigung ist durch einen oder mehrere sachverständige Prüfer festzustellen. Diese werden auf Antrag des Reorganisationsberaters vom Oberlandesgericht ausgewählt und bestellt.</w:t>
      </w:r>
    </w:p>
    <w:p>
      <w:r>
        <w:t xml:space="preserve">(3) Rechtshandlungen, die im Zusammenhang mit einer Kapitalmaßnahme nach Absatz 1 stehen, können nicht nach den Bestimmungen der Insolvenzordnung und des Anfechtungsgesetzes angefochten werden zu Lasten</w:t>
      </w:r>
    </w:p>
    <w:p>
      <w:pPr>
        <w:ind w:left="420"/>
      </w:pPr>
      <w:r>
        <w:t xml:space="preserve">1. des Finanzmarktstabilisierungsfonds,</w:t>
      </w:r>
    </w:p>
    <w:p>
      <w:pPr>
        <w:ind w:left="420"/>
      </w:pPr>
      <w:r>
        <w:t xml:space="preserve">2. des Bundes und der Länder,</w:t>
      </w:r>
    </w:p>
    <w:p>
      <w:pPr>
        <w:ind w:left="420"/>
      </w:pPr>
      <w:r>
        <w:t xml:space="preserve">3. der vom Finanzmarktstabilisierungsfonds und dem Bund errichteten Körperschaften, Anstalten und Sondervermögen sowie</w:t>
      </w:r>
    </w:p>
    <w:p>
      <w:pPr>
        <w:ind w:left="420"/>
      </w:pPr>
      <w:r>
        <w:t xml:space="preserve">4. der dem Finanzmarktstabilisierungsfonds und dem Bund nahestehenden Personen oder sonstigen von ihnen mittelbar oder unmittelbar abhängigen Unternehmen.</w:t>
      </w:r>
    </w:p>
    <w:p>
      <w:r>
        <w:rPr>
          <w:color w:val="555555"/>
          <w:sz w:val="17"/>
        </w:rPr>
        <w:t xml:space="preserve">Zitiervorschlag: § 9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