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KredReorgG — Inhalt des Reorganisationsplans</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Der Reorganisationsplan besteht aus einem darstellenden und einem gestaltenden Teil. Im darstellenden Teil wird beschrieben, welche Regelungen getroffen werden sollen, um die Grundlagen für die Gestaltung der Rechte der Betroffenen zu schaffen. Im gestaltenden Teil wird festgelegt, wie die Rechtsstellung der Beteiligten durch den Reorganisationsplan geändert werden soll; er kann auch Regelungen nach § 2 Absatz 2 Satz 3 enthalten. In dem Reorganisationsplan kann auch die Liquidation des Kreditinstituts vorgesehen werden. Soweit der Reorganisationsplan eintragungspflichtige gesellschaftsrechtliche Maßnahmen enthält, sind diese gesondert aufzuführen.</w:t>
      </w:r>
    </w:p>
    <w:p>
      <w:r>
        <w:t xml:space="preserve">(2) Im Reorganisationsplan sind Gruppen für die Abstimmung nach den §§ 17 und 18 zu bilden, sofern in die Rechte von Beteiligten eingegriffen wird. Beteiligte mit unterschiedlicher Rechtsstellung bilden jeweils eigene Gruppen. Aus den Beteiligten mit gleicher Rechtsstellung können Gruppen gebildet werden, in denen Beteiligte mit gleichartigen wirtschaftlichen Interessen zusammengefasst werden. Die Anteilsinhaber bilden nur dann eine eigene Gruppe, wenn im Reorganisationsplan Regelungen vorgesehen sind, für die nach den gesellschaftsrechtlichen Bestimmungen ein Beschluss der Hauptversammlung erforderlich oder in diesem Gesetz vorgesehen ist.</w:t>
      </w:r>
    </w:p>
    <w:p>
      <w:r>
        <w:t xml:space="preserve">(3) Der Reorganisationsplan kann in die Rechte der Gläubiger und in die Stellung der Anteilsinhaber nach Maßgabe der §§ 9 bis 12 eingreifen.</w:t>
      </w:r>
    </w:p>
    <w:p>
      <w:r>
        <w:rPr>
          <w:color w:val="555555"/>
          <w:sz w:val="17"/>
        </w:rPr>
        <w:t xml:space="preserve">Zitiervorschlag: § 8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