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KredReorgG — Gerichtliche Maßnahmen</w:t>
      </w:r>
    </w:p>
    <w:p>
      <w:r>
        <w:rPr>
          <w:color w:val="555555"/>
          <w:sz w:val="18"/>
        </w:rPr>
        <w:t xml:space="preserve">Kreditinstitute-Reorganisationsgesetz</w:t>
      </w:r>
    </w:p>
    <w:p>
      <w:r>
        <w:rPr>
          <w:color w:val="555555"/>
          <w:sz w:val="18"/>
        </w:rPr>
        <w:t xml:space="preserve">Historische Fassung: Stand 10.06.2019 bis 29.12.2020. Dies ist nicht die aktuelle Fassung.</w:t>
      </w:r>
    </w:p>
    <w:p>
      <w:r>
        <w:t xml:space="preserve">(1) Das Oberlandesgericht kann auf Vorschlag der Bundesanstalt, der zu begründen ist, weitere Maßnahmen ergreifen, wenn dies zur Sanierung des Kreditinstituts erforderlich ist und wenn die Gefahr besteht, dass das Kreditinstitut seine Verpflichtungen gegenüber den Gläubigern nicht erfüllen kann. Es kann insbesondere</w:t>
      </w:r>
    </w:p>
    <w:p>
      <w:pPr>
        <w:ind w:left="420"/>
      </w:pPr>
      <w:r>
        <w:t xml:space="preserve">1. den Mitgliedern der Geschäftsleitung und den Inhabern die Ausübung ihrer Tätigkeit untersagen oder diese beschränken,</w:t>
      </w:r>
    </w:p>
    <w:p>
      <w:pPr>
        <w:ind w:left="420"/>
      </w:pPr>
      <w:r>
        <w:t xml:space="preserve">2. anordnen, den Sanierungsberater in die Geschäftsleitung aufzunehmen,</w:t>
      </w:r>
    </w:p>
    <w:p>
      <w:pPr>
        <w:ind w:left="420"/>
      </w:pPr>
      <w:r>
        <w:t xml:space="preserve">3. Entnahmen durch die Inhaber oder Gesellschafter sowie die Ausschüttung von Gewinnen untersagen oder beschränken,</w:t>
      </w:r>
    </w:p>
    <w:p>
      <w:pPr>
        <w:ind w:left="420"/>
      </w:pPr>
      <w:r>
        <w:t xml:space="preserve">4. die bestehenden Vergütungs- und Bonusregelungen der Geschäftsleitung auf ihre Anreizwirkung und ihre Angemessenheit hin überprüfen und gegebenenfalls eine Anpassung für die Zukunft vornehmen sowie Zahlungsverbote bezüglich nicht geschuldeter Leistungen aussprechen und</w:t>
      </w:r>
    </w:p>
    <w:p>
      <w:pPr>
        <w:ind w:left="420"/>
      </w:pPr>
      <w:r>
        <w:t xml:space="preserve">5. die Zustimmung des Aufsichtsorgans ersetzen.</w:t>
      </w:r>
    </w:p>
    <w:p>
      <w:r>
        <w:t xml:space="preserve">(2) Das Oberlandesgericht kann eine Entscheidung über weitere Maßnahmen nach Absatz 1 zeitgleich mit der Bestellung nach § 3 oder nachträglich treffen und von Amts wegen mit Wirkung für die Zukunft ändern. Zuvor gibt es dem Kreditinstitut und den von einer Maßnahme nach Absatz 1 unmittelbar rechtlich Betroffenen Gelegenheit zur Stellungnahme. Wenn dies aufgrund besonderer Umstände ausnahmsweise nicht möglich ist, gibt das Oberlandesgericht ihnen unverzüglich nachträglich Gelegenheit zur Stellungnahme. Das Oberlandesgericht überprüft in diesem Fall die getroffene Entscheidung unter Berücksichtigung der eingegangenen Stellungnahmen; besteht danach kein Grund für eine Abänderung, teilt es dies den Beteiligten formlos mit.</w:t>
      </w:r>
    </w:p>
    <w:p>
      <w:r>
        <w:rPr>
          <w:color w:val="555555"/>
          <w:sz w:val="17"/>
        </w:rPr>
        <w:t xml:space="preserve">Zitiervorschlag: § 5 KredReorgG</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https://recht.nulegal.eu/gesetze/KredReorgG/5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