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KredReorgG — Schutz von Finanzsicherheiten sowie von Zahlungs- und Wertpapiersystemen</w:t>
      </w:r>
    </w:p>
    <w:p>
      <w:r>
        <w:rPr>
          <w:color w:val="555555"/>
          <w:sz w:val="18"/>
        </w:rPr>
        <w:t xml:space="preserve">Kreditinstitute-Reorganisationsgesetz</w:t>
      </w:r>
    </w:p>
    <w:p>
      <w:r>
        <w:rPr>
          <w:color w:val="555555"/>
          <w:sz w:val="18"/>
        </w:rPr>
        <w:t xml:space="preserve">Historische Fassung: Stand 10.06.2019 bis 29.12.2020. Dies ist nicht die aktuelle Fassung.</w:t>
      </w:r>
    </w:p>
    <w:p>
      <w:r>
        <w:t xml:space="preserve">Die Vorschriften der Insolvenzordnung zum Schutz von Zahlungs- sowie Wertpapierliefer- und -abrechnungssystemen sowie von dinglichen Sicherheiten der Zentralbanken und von Finanzsicherheiten sind entsprechend anzuwenden.</w:t>
      </w:r>
    </w:p>
    <w:p>
      <w:r>
        <w:rPr>
          <w:color w:val="555555"/>
          <w:sz w:val="17"/>
        </w:rPr>
        <w:t xml:space="preserve">Zitiervorschlag: § 23 KredReorgG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https://recht.nulegal.eu/gesetze/KredReorgG/23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