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KredReorgG — Aufhebung des Reorganisationsverfahrens; Überwachung der Planerfüllung</w:t>
      </w:r>
    </w:p>
    <w:p>
      <w:r>
        <w:rPr>
          <w:color w:val="555555"/>
          <w:sz w:val="18"/>
        </w:rPr>
        <w:t xml:space="preserve">Kreditinstitute-Reorganisationsgesetz</w:t>
      </w:r>
    </w:p>
    <w:p>
      <w:r>
        <w:rPr>
          <w:color w:val="555555"/>
          <w:sz w:val="18"/>
        </w:rPr>
        <w:t xml:space="preserve">Historische Fassung: Stand 10.06.2019 bis 29.12.2020. Dies ist nicht die aktuelle Fassung.</w:t>
      </w:r>
    </w:p>
    <w:p>
      <w:r>
        <w:t xml:space="preserve">(1) Mit der Bestätigung des Reorganisationsplans oder deren Versagung beschließt das Oberlandesgericht die Aufhebung des Reorganisationsverfahrens.</w:t>
      </w:r>
    </w:p>
    <w:p>
      <w:r>
        <w:t xml:space="preserve">(2) Im gestaltenden Teil des Reorganisationsplans kann vorgesehen werden, dass der Reorganisationsberater die Erfüllung des Reorganisationsplans auch nach Aufhebung des Reorganisationsverfahrens überwacht. Das Oberlandesgericht beschließt die Aufhebung der Überwachung,</w:t>
      </w:r>
    </w:p>
    <w:p>
      <w:pPr>
        <w:ind w:left="420"/>
      </w:pPr>
      <w:r>
        <w:t xml:space="preserve">1. wenn die Ansprüche, deren Erfüllung überwacht wird, erfüllt sind oder wenn gewährleistet ist, dass sie erfüllt werden,</w:t>
      </w:r>
    </w:p>
    <w:p>
      <w:pPr>
        <w:ind w:left="420"/>
      </w:pPr>
      <w:r>
        <w:t xml:space="preserve">2. wenn seit der Aufhebung des Reorganisationsverfahrens drei Jahre verstrichen sind und kein Antrag auf Durchführung eines neuen Reorganisationsverfahrens vorliegt oder</w:t>
      </w:r>
    </w:p>
    <w:p>
      <w:pPr>
        <w:ind w:left="420"/>
      </w:pPr>
      <w:r>
        <w:t xml:space="preserve">3. wenn die Bundesanstalt Maßnahmen nach den §§ 45c, 46 oder 46b des Kreditwesengesetzes anordnet oder eine Abwicklungsanordnung im Sinne des § 77 des Sanierungs- und Abwicklungsgesetzes ergeht.</w:t>
      </w:r>
    </w:p>
    <w:p>
      <w:r>
        <w:t xml:space="preserve">(3) Die Beschlüsse nach den Absätzen 1 und 2 sind im Bundesanzeiger und auf der Internetseite des Kreditinstituts bekannt zu machen.</w:t>
      </w:r>
    </w:p>
    <w:p>
      <w:r>
        <w:rPr>
          <w:color w:val="555555"/>
          <w:sz w:val="17"/>
        </w:rPr>
        <w:t xml:space="preserve">Zitiervorschlag: § 22 KredReorgG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https://recht.nulegal.eu/gesetze/KredReorgG/22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