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KredReorgG — Allgemeine Wirkungen des Reorganisationsplans; Eintragung ins Handelsregister</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Mit der gerichtlichen Bestätigung des Reorganisationsplans treten die Wirkungen der im gestaltenden Teil festgelegten Regelungen einschließlich der Wirkungen des § 2 Absatz 2 Satz 3 für und gegen die Planbeteiligten ein. Soweit Rechte an Gegenständen begründet, geändert, übertragen, aufgehoben oder gesellschaftsrechtliche Maßnahmen insbesondere nach den §§ 9 bis 11 durchgeführt werden sollen, gelten die in den Reorganisationsplan aufgenommenen Willenserklärungen der Beteiligten als in der vorgeschriebenen Form abgegeben. Entsprechendes gilt für die in den Reorganisationsplan aufgenommenen Verpflichtungserklärungen, die einer Maßnahme nach Satz 2 zugrunde liegen.</w:t>
      </w:r>
    </w:p>
    <w:p>
      <w:r>
        <w:t xml:space="preserve">(2) Werden Forderungen von Gläubigern in Anteile am Kreditinstitut umgewandelt, kann das Kreditinstitut nach der gerichtlichen Bestätigung keine Ansprüche wegen einer Überbewertung der umgewandelten Forderungen im Reorganisationsplan gegen die bisherigen Gläubiger geltend machen.</w:t>
      </w:r>
    </w:p>
    <w:p>
      <w:r>
        <w:t xml:space="preserve">(3) Das Oberlandesgericht leitet dem für das Kreditinstitut zuständigen Registergericht unverzüglich eine Ausfertigung des Reorganisationsplans zu oder beauftragt den Reorganisationsberater mit der Zuleitung. Das Registergericht leitet das Eintragungsverfahren von Amts wegen ein. Die im Reorganisationsplan enthaltenen eintragungspflichtigen gesellschaftsrechtlichen Maßnahmen sind, falls sie nicht offensichtlich nichtig sind, unverzüglich in das Handelsregister einzutragen.</w:t>
      </w:r>
    </w:p>
    <w:p>
      <w:r>
        <w:rPr>
          <w:color w:val="555555"/>
          <w:sz w:val="17"/>
        </w:rPr>
        <w:t xml:space="preserve">Zitiervorschlag: § 21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