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KredReorgG — Annahme des Reorganisationsplans</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Zur Annahme des Reorganisationsplans müssen alle Gruppen dem Reorganisationsplan zustimmen. Hierfür ist erforderlich, dass</w:t>
      </w:r>
    </w:p>
    <w:p>
      <w:pPr>
        <w:ind w:left="420"/>
      </w:pPr>
      <w:r>
        <w:t xml:space="preserve">1. die Gruppe der Anteilsinhaber nach Maßgabe des § 18 Absatz 3 zustimmt und</w:t>
      </w:r>
    </w:p>
    <w:p>
      <w:pPr>
        <w:ind w:left="420"/>
      </w:pPr>
      <w:r>
        <w:t xml:space="preserve">2. in jeder Gruppe der Gläubiger die Mehrheit der abstimmenden Gläubiger dem Reorganisationsplan zustimmen und</w:t>
      </w:r>
    </w:p>
    <w:p>
      <w:pPr>
        <w:ind w:left="420"/>
      </w:pPr>
      <w:r>
        <w:t xml:space="preserve">3. in jeder Gruppe der Gläubiger die Summe der Ansprüche der zustimmenden Gläubiger mehr als die Hälfte der Summe der Ansprüche der abstimmenden Gläubiger beträgt.</w:t>
      </w:r>
    </w:p>
    <w:p>
      <w:r>
        <w:t xml:space="preserve">In dem Erörterungs- und Abstimmungstermin der Gläubiger teilt der Reorganisationsberater den Beschluss der Hauptversammlung nach § 18 mit.</w:t>
      </w:r>
    </w:p>
    <w:p>
      <w:r>
        <w:t xml:space="preserve">(2) Auch wenn die erforderlichen Mehrheiten in einer Gläubigergruppe nicht erreicht sind, gilt ihre Zustimmung als erteilt, wenn</w:t>
      </w:r>
    </w:p>
    <w:p>
      <w:pPr>
        <w:ind w:left="420"/>
      </w:pPr>
      <w:r>
        <w:t xml:space="preserve">1. die Gläubiger dieser Gruppe durch den Reorganisationsplan voraussichtlich nicht schlechter gestellt werden, als sie ohne einen Reorganisationsplan stünden und</w:t>
      </w:r>
    </w:p>
    <w:p>
      <w:pPr>
        <w:ind w:left="420"/>
      </w:pPr>
      <w:r>
        <w:t xml:space="preserve">2. die Gläubiger dieser Gruppe angemessen an dem wirtschaftlichen Wert beteiligt werden, der auf der Grundlage des Reorganisationsplans allen Beteiligten zufließen soll und</w:t>
      </w:r>
    </w:p>
    <w:p>
      <w:pPr>
        <w:ind w:left="420"/>
      </w:pPr>
      <w:r>
        <w:t xml:space="preserve">3. die Mehrheit der abstimmenden Gruppen dem Reorganisationsplan mit den jeweils erforderlichen Mehrheiten zugestimmt hat.</w:t>
      </w:r>
    </w:p>
    <w:p>
      <w:r>
        <w:t xml:space="preserve">(3) Eine angemessene Beteiligung im Sinne des Absatzes 2 Nummer 2 liegt vor, wenn nach dem Reorganisationsplan</w:t>
      </w:r>
    </w:p>
    <w:p>
      <w:pPr>
        <w:ind w:left="420"/>
      </w:pPr>
      <w:r>
        <w:t xml:space="preserve">1. kein anderer Gläubiger wirtschaftliche Werte erhält, die den vollen Betrag seines Anspruchs übersteigen und</w:t>
      </w:r>
    </w:p>
    <w:p>
      <w:pPr>
        <w:ind w:left="420"/>
      </w:pPr>
      <w:r>
        <w:t xml:space="preserve">2. weder ein Gläubiger, der ohne einen Reorganisationsplan mit Nachrang gegenüber den Gläubigern der Gruppe zu befriedigen wäre, noch das Kreditinstitut oder eine an ihm beteiligte Person einen wirtschaftlichen Wert erhält und</w:t>
      </w:r>
    </w:p>
    <w:p>
      <w:pPr>
        <w:ind w:left="420"/>
      </w:pPr>
      <w:r>
        <w:t xml:space="preserve">3. kein Gläubiger, der ohne einen Reorganisationsplan gleichrangig mit den Gläubigern der Gruppe zu befriedigen wäre, besser gestellt wird als diese Gläubiger.</w:t>
      </w:r>
    </w:p>
    <w:p>
      <w:r>
        <w:t xml:space="preserve">(4) Falls die Zustimmung der Anteilsinhaber verweigert wurde, gilt sie als erteilt, wenn</w:t>
      </w:r>
    </w:p>
    <w:p>
      <w:pPr>
        <w:ind w:left="420"/>
      </w:pPr>
      <w:r>
        <w:t xml:space="preserve">1. die Mehrheit der abstimmenden Gruppen dem Reorganisationsplan mit den jeweils erforderlichen Mehrheiten zugestimmt hat und</w:t>
      </w:r>
    </w:p>
    <w:p>
      <w:pPr>
        <w:ind w:left="420"/>
      </w:pPr>
      <w:r>
        <w:t xml:space="preserve">2. die im Reorganisationsplan vorgesehenen Maßnahmen nach den §§ 9 bis 11 dazu dienen, erhebliche negative Folgeeffekte bei anderen Unternehmen des Finanzsektors infolge der Bestandsgefährdung des Kreditinstituts und eine Instabilität des Finanzsystems zu verhindern und wenn diese Maßnahmen hierzu geeignet, erforderlich und angemessen sind; wenn die Anteilsinhaber ein alternatives Konzept vorgelegt haben, ist auch dieses zu berücksichtigen.</w:t>
      </w:r>
    </w:p>
    <w:p>
      <w:r>
        <w:t xml:space="preserve">(5) Der Reorganisationsberater unterrichtet die Anteilsinhaber, wenn ihre Zustimmung nach Absatz 4 ersetzt werden soll, über die Internetseite des Kreditinstituts.</w:t>
      </w:r>
    </w:p>
    <w:p>
      <w:r>
        <w:rPr>
          <w:color w:val="555555"/>
          <w:sz w:val="17"/>
        </w:rPr>
        <w:t xml:space="preserve">Zitiervorschlag: § 19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