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KredReorgG — Abstimmung der Gläubiger</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Jede Gruppe der stimmberechtigten Gläubiger stimmt gesondert über den Reorganisationsplan ab.</w:t>
      </w:r>
    </w:p>
    <w:p>
      <w:r>
        <w:t xml:space="preserve">(2) Die Einberufung zu dem Termin erfolgt auf Veranlassung des Reorganisationsberaters durch öffentliche Bekanntmachung im Bundesanzeiger. Die Einberufung muss spätestens am 21. Tag vor dem Termin erfolgen. Das Kreditinstitut hat vom Tag der öffentlichen Bekanntmachung nach Satz 1 bis zum Abschluss der Abstimmung folgende Informationen über seine Internetseite zugänglich zu machen:</w:t>
      </w:r>
    </w:p>
    <w:p>
      <w:pPr>
        <w:ind w:left="420"/>
      </w:pPr>
      <w:r>
        <w:t xml:space="preserve">1. die Einberufung,</w:t>
      </w:r>
    </w:p>
    <w:p>
      <w:pPr>
        <w:ind w:left="420"/>
      </w:pPr>
      <w:r>
        <w:t xml:space="preserve">2. die genauen Bedingungen, von denen die Teilnahme an der Abstimmung und die Ausübung des Stimmrechts abhängen und</w:t>
      </w:r>
    </w:p>
    <w:p>
      <w:pPr>
        <w:ind w:left="420"/>
      </w:pPr>
      <w:r>
        <w:t xml:space="preserve">3. die abstimmungserheblichen Inhalte des Reorganisationsplans.</w:t>
      </w:r>
    </w:p>
    <w:p>
      <w:r>
        <w:t xml:space="preserve">Die öffentliche Bekanntmachung enthält die genaue Angabe zu Ort und Zeit des Termins sowie einen Hinweis auf die Internetseite, auf der die in Satz 3 genannten Informationen abrufbar sind.</w:t>
      </w:r>
    </w:p>
    <w:p>
      <w:r>
        <w:t xml:space="preserve">(3) Neben der Einberufung nach Absatz 2 sind zu dem Termin alle Gläubiger, in deren Rechte nach § 12 eingegriffen wird, durch den Reorganisationsberater zu laden. In der Ladung ist darauf hinzuweisen, dass die in Absatz 2 Satz 3 genannten Informationen auf der Internetseite des Kreditinstituts abrufbar sind.</w:t>
      </w:r>
    </w:p>
    <w:p>
      <w:r>
        <w:t xml:space="preserve">(4) Die Ladung ist zuzustellen. Die Zustellung kann durch Aufgabe zur Post unter der Anschrift des Zustellungsadressaten erfolgen; § 184 Absatz 2 Satz 1, 2 und 4 der Zivilprozessordnung gilt entsprechend. Soll die Ladung im Inland bewirkt werden, gilt sie drei Tage nach Aufgabe zur Post als zugestellt. Das Oberlandesgericht beauftragt den Reorganisationsberater mit der Durchführung der Ladung. Er kann sich hierfür Dritter, insbesondere auch eigenen Personals, bedienen. Die von ihm nach § 184 Absatz 2 Satz 4 der Zivilprozessordnung gefertigten Vermerke hat er unverzüglich zu den Gerichtsakten zu reichen.</w:t>
      </w:r>
    </w:p>
    <w:p>
      <w:r>
        <w:rPr>
          <w:color w:val="555555"/>
          <w:sz w:val="17"/>
        </w:rPr>
        <w:t xml:space="preserve">Zitiervorschlag: § 17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