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KredReorgG — Anmeldung von Forderungen</w:t>
      </w:r>
    </w:p>
    <w:p>
      <w:r>
        <w:rPr>
          <w:color w:val="555555"/>
          <w:sz w:val="18"/>
        </w:rPr>
        <w:t xml:space="preserve">Kreditinstitute-Reorganisationsgesetz</w:t>
      </w:r>
    </w:p>
    <w:p>
      <w:r>
        <w:rPr>
          <w:color w:val="555555"/>
          <w:sz w:val="18"/>
        </w:rPr>
        <w:t xml:space="preserve">Historische Fassung: Stand 10.06.2019 bis 29.12.2020. Dies ist nicht die aktuelle Fassung.</w:t>
      </w:r>
    </w:p>
    <w:p>
      <w:r>
        <w:t xml:space="preserve">(1) Gläubiger, in deren Rechte nach § 12 eingegriffen wird, fordert der Reorganisationsberater auf, ihre Forderungen innerhalb einer von ihm gesetzten Frist, die mindestens drei Wochen beträgt, bei ihm anzumelden. Die Aufforderung ist mit der Ladung nach § 17 Absatz 3 zu verbinden. In der Anmeldung sind der Grund und der Betrag der Forderung anzugeben; die Urkunden, aus denen sich die Forderung ergibt, sind auf Verlangen vorzulegen. § 46f des Kreditwesengesetzes gilt entsprechend mit der Maßgabe, dass an die Stelle der Geschäftsstelle des Insolvenzgerichts der Reorganisationsberater tritt.</w:t>
      </w:r>
    </w:p>
    <w:p>
      <w:r>
        <w:t xml:space="preserve">(2) Der Reorganisationsberater hat jede nach Maßgabe des Absatzes 1 angemeldete Forderung mit den dort genannten Angaben in eine Tabelle einzutragen.</w:t>
      </w:r>
    </w:p>
    <w:p>
      <w:r>
        <w:rPr>
          <w:color w:val="555555"/>
          <w:sz w:val="17"/>
        </w:rPr>
        <w:t xml:space="preserve">Zitiervorschlag: § 14 KredReorgG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https://recht.nulegal.eu/gesetze/KredReorgG/14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