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KredReorgG — Beendigung von Schuldverhältnissen</w:t>
      </w:r>
    </w:p>
    <w:p>
      <w:r>
        <w:rPr>
          <w:color w:val="555555"/>
          <w:sz w:val="18"/>
        </w:rPr>
        <w:t xml:space="preserve">Kreditinstitute-Reorganisationsgesetz</w:t>
      </w:r>
    </w:p>
    <w:p>
      <w:r>
        <w:rPr>
          <w:color w:val="555555"/>
          <w:sz w:val="18"/>
        </w:rPr>
        <w:t xml:space="preserve">Historische Fassung: Stand 10.06.2019 bis 29.12.2020. Dies ist nicht die aktuelle Fassung.</w:t>
      </w:r>
    </w:p>
    <w:p>
      <w:r>
        <w:t xml:space="preserve">Schuldverhältnisse mit dem Kreditinstitut können ab dem Tag der Anzeige nach § 7 Absatz 1 bis zum Ablauf des folgenden Geschäftstages im Sinne des § 1 Absatz 16b des Kreditwesengesetzes nicht beendet werden. Eine Kündigung gegenüber dem Kreditinstitut ist in diesem Zeitraum ausgeschlossen. Die Wirkung sonstiger in diesem Zeitraum eintretender Beendigungstatbestände ist bis zu seinem Ablauf aufgeschoben. Abweichende Vereinbarungen sind unwirksam. Dies gilt nicht für Gläubiger von Forderungen aus Schuldverhältnissen nach § 12 Absatz 2.</w:t>
      </w:r>
    </w:p>
    <w:p>
      <w:r>
        <w:rPr>
          <w:color w:val="555555"/>
          <w:sz w:val="17"/>
        </w:rPr>
        <w:t xml:space="preserve">Zitiervorschlag: § 13 KredReorgG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https://recht.nulegal.eu/gesetze/KredReorgG/13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