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KredReorgG — Eingriffe in Gläubigerrechte</w:t>
      </w:r>
    </w:p>
    <w:p>
      <w:r>
        <w:rPr>
          <w:color w:val="555555"/>
          <w:sz w:val="18"/>
        </w:rPr>
        <w:t xml:space="preserve">Kreditinstitute-Reorganisationsgesetz</w:t>
      </w:r>
    </w:p>
    <w:p>
      <w:r>
        <w:rPr>
          <w:color w:val="555555"/>
          <w:sz w:val="18"/>
        </w:rPr>
        <w:t xml:space="preserve">Historische Fassung: Stand 10.06.2019 bis 29.12.2020. Dies ist nicht die aktuelle Fassung.</w:t>
      </w:r>
    </w:p>
    <w:p>
      <w:r>
        <w:t xml:space="preserve">(1) Im gestaltenden Teil des Reorganisationsplans ist anzugeben, um welchen Bruchteil die Forderungen von Gläubigern gekürzt, für welchen Zeitraum sie gestundet, wie sie gesichert oder welchen sonstigen Regelungen sie unterworfen werden sollen.</w:t>
      </w:r>
    </w:p>
    <w:p>
      <w:r>
        <w:t xml:space="preserve">(2) Ein Eingriff in eine Forderung, für die im Entschädigungsfall dem Gläubiger ein Entschädigungsanspruch gegen eine Sicherungseinrichtung im Sinne des § 23a des Kreditwesengesetzes zusteht, ist ausgeschlossen. Dies gilt auch für Forderungen, die über eine freiwillige Einlagensicherung abgedeckt sind.</w:t>
      </w:r>
    </w:p>
    <w:p>
      <w:r>
        <w:t xml:space="preserve">(3) Ein Eingriff in Forderungen von Arbeitnehmern auf Arbeitsentgelt und von Versorgungsberechtigten auf betriebliche Altersversorgung ist ausgeschlossen.</w:t>
      </w:r>
    </w:p>
    <w:p>
      <w:r>
        <w:rPr>
          <w:color w:val="555555"/>
          <w:sz w:val="17"/>
        </w:rPr>
        <w:t xml:space="preserve">Zitiervorschlag: § 12 KredReorgG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https://recht.nulegal.eu/gesetze/KredReorgG/12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