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KredReorgG — Ausgliederung</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Im gestaltenden Teil des Reorganisationsplans kann festgelegt werden, dass das Kreditinstitut sein Vermögen ganz oder in Teilen ausgliedert und auf einen bestehenden oder zu gründenden Rechtsträger gegen Gewährung von Anteilen dieses Rechtsträgers an das Kreditinstitut überträgt. Der gestaltende Teil des Reorganisationsplans kann auch festlegen, dass einzelne Vermögensgegenstände, Verbindlichkeiten oder Rechtsverhältnisse auf das übertragende Kreditinstitut zurückübertragen werden. Der Reorganisationsplan hat mindestens die in § 136 Absatz 1 Nummer 1, 2, 3 und 5 des Sanierungs- und Abwicklungsgesetzes genannten Angaben sowie Angaben über die Folgen der Ausgliederung für die Arbeitnehmer und ihre Vertretungen sowie die insoweit vorgesehenen Maßnahmen zu enthalten. § 110 Absatz 2 des Sanierungs- und Abwicklungsgesetzes gilt entsprechend.</w:t>
      </w:r>
    </w:p>
    <w:p>
      <w:r>
        <w:t xml:space="preserve">(2) Sieht der Reorganisationsplan eine Ausgliederung zur Aufnahme vor, so darf er durch das Oberlandesgericht nur bestätigt werden, wenn eine notariell beurkundete Zustimmungserklärung des übernehmenden Rechtsträgers vorliegt. Im Übrigen gelten § 115 Absatz 1 Satz 2 und Absatz 3 des Sanierungs- und Abwicklungsgesetzes sowie § 21 Absatz 3 für die Zuleitung an das Registergericht des übernehmenden Rechtsträgers entsprechend.</w:t>
      </w:r>
    </w:p>
    <w:p>
      <w:r>
        <w:t xml:space="preserve">(3) Ist im Reorganisationsplan eine Ausgliederung zur Neugründung vorgesehen, so muss die in den Reorganisationsplan aufzunehmende Satzung des neuen Rechtsträgers der Satzung des Kreditinstituts nachgebildet werden. Die für die Rechtsform des neuen Rechtsträgers geltenden Gründungsvorschriften sind anzuwenden; § 21 Absatz 1 Satz 2 und 3 bleibt unberührt. Eine Schlussbilanz im Sinne des Absatzes 2 Satz 2 ist beizufügen; § 21 Absatz 3 gilt für die Zuleitung an das Registergericht des neuen Rechtsträgers entsprechend.</w:t>
      </w:r>
    </w:p>
    <w:p>
      <w:r>
        <w:t xml:space="preserve">(4) Für Verbindlichkeiten des ausgliedernden Kreditinstituts, die vor Wirksamwerden der Ausgliederung begründet worden sind, haften als Gesamtschuldner das ausgliedernde Kreditinstitut und der übernehmende Rechtsträger, im Falle einer Ausgliederung zur Neugründung das ausgliedernde Kreditinstitut und der neue Rechtsträger. Die gesamtschuldnerische Haftung des übernehmenden oder des neuen Rechtsträgers ist auf den Betrag beschränkt, den die Gläubiger ohne eine Ausgliederung erhalten hätten. Die Forderungen der Gläubiger, die vom Reorganisationsplan erfasst werden, bestimmen sich ausschließlich nach den Festlegungen dieses Plans. § 141 des Sanierungs- und Abwicklungsgesetzes gilt entsprechend.</w:t>
      </w:r>
    </w:p>
    <w:p>
      <w:r>
        <w:rPr>
          <w:color w:val="555555"/>
          <w:sz w:val="17"/>
        </w:rPr>
        <w:t xml:space="preserve">Zitiervorschlag: § 11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