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KredInstAufwV 2003</w:t>
      </w:r>
    </w:p>
    <w:p>
      <w:r>
        <w:rPr>
          <w:color w:val="555555"/>
          <w:sz w:val="18"/>
        </w:rPr>
        <w:t xml:space="preserve">Verordnung über den Ersatz von Aufwendungen der Kreditinstitute</w:t>
      </w:r>
    </w:p>
    <w:p>
      <w:r>
        <w:rPr>
          <w:color w:val="555555"/>
          <w:sz w:val="18"/>
        </w:rPr>
        <w:t xml:space="preserve">Historische Fassung: Stand 10.06.2019 bis 03.09.2020. Dies ist nicht die aktuelle Fassung.</w:t>
      </w:r>
    </w:p>
    <w:p>
      <w:r>
        <w:t xml:space="preserve">Auf Grund des § 128 Abs. 6 des Aktiengesetzes vom 6. September 1965 (BGBl. I S. 1089), der zuletzt durch Artikel 94 der Verordnung vom 29. Oktober 2001 (BGBl. I S. 2785) geändert worden ist, in Verbindung mit § 1 des Zuständigkeitsanpassungsgesetzes vom 16. August 2002 (BGBl. I S. 3165) und dem Organisationserlass vom 22. Oktober 2002 (BGBl. I S. 4206) verordnet das Bundesministerium der Justiz im Einvernehmen mit dem Bundesministerium für Wirtschaft und Arbeit und dem Bundesministerium der Finanzen:</w:t>
      </w:r>
    </w:p>
    <w:p>
      <w:r>
        <w:rPr>
          <w:color w:val="555555"/>
          <w:sz w:val="17"/>
        </w:rPr>
        <w:t xml:space="preserve">Zitiervorschlag: Eingangsformel KredInstAufwV 2003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https://recht.nulegal.eu/gesetze/KredInstAufwV%202003/eingangsformel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