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KredInstAufwV 2003 — Vergütung für Vervielfältigungen</w:t>
      </w:r>
    </w:p>
    <w:p>
      <w:r>
        <w:rPr>
          <w:color w:val="555555"/>
          <w:sz w:val="18"/>
        </w:rPr>
        <w:t xml:space="preserve">Verordnung über den Ersatz von Aufwendungen der Kreditinstitute</w:t>
      </w:r>
    </w:p>
    <w:p>
      <w:r>
        <w:rPr>
          <w:color w:val="555555"/>
          <w:sz w:val="18"/>
        </w:rPr>
        <w:t xml:space="preserve">Historische Fassung: Stand 10.06.2019 bis 03.09.2020. Dies ist nicht die aktuelle Fassung.</w:t>
      </w:r>
    </w:p>
    <w:p>
      <w:r>
        <w:t xml:space="preserve">Soweit eine Gesellschaft einem Kreditinstitut die nach § 128 Abs. 1 des Aktiengesetzes an die Aktionäre weiterzugebenden Mitteilungen nicht rechtzeitig in der erforderlichen Anzahl zur Verfügung stellt, kann das Kreditinstitut für die Vervielfältigung von der Gesellschaft die übliche Vergütung verlangen.</w:t>
      </w:r>
    </w:p>
    <w:p>
      <w:r>
        <w:rPr>
          <w:color w:val="555555"/>
          <w:sz w:val="17"/>
        </w:rPr>
        <w:t xml:space="preserve">Zitiervorschlag: § 2 KredInstAufwV 2003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https://recht.nulegal.eu/gesetze/KredInstAufwV%202003/2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