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KredFinG 1967</w:t>
      </w:r>
    </w:p>
    <w:p>
      <w:r>
        <w:rPr>
          <w:color w:val="555555"/>
          <w:sz w:val="18"/>
        </w:rPr>
        <w:t xml:space="preserve">Kreditfinanzierungsgesetz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Festlegung des Investitionsprogramms bedarf der Zustimmung des Haushaltsausschusses des Deutschen Bundestages.</w:t>
      </w:r>
    </w:p>
    <w:p>
      <w:r>
        <w:t xml:space="preserve">(2) Unter Anrechnung auf die in § 2 vorgesehenen Maßnahmen kann zugunsten</w:t>
      </w:r>
    </w:p>
    <w:p>
      <w:pPr>
        <w:ind w:left="420"/>
      </w:pPr>
      <w:r>
        <w:t xml:space="preserve">der Deutschen Bundesbahn über einen Betrag bis zu 300.000.000 Deutsche Mark,</w:t>
      </w:r>
    </w:p>
    <w:p>
      <w:pPr>
        <w:ind w:left="420"/>
      </w:pPr>
      <w:r>
        <w:t xml:space="preserve">des Bundesfernstraßenbaus bis zum Betrag von 200.000.000 Deutsche Mark,</w:t>
      </w:r>
    </w:p>
    <w:p>
      <w:pPr>
        <w:ind w:left="420"/>
      </w:pPr>
      <w:r>
        <w:t xml:space="preserve">der Deutschen Bundespost bis zum Betrag von 250.000.000 Deutsche Markund</w:t>
      </w:r>
    </w:p>
    <w:p>
      <w:r>
        <w:t xml:space="preserve">der Landwirtschaft, insbesondere für den Landeskulturbau</w:t>
      </w:r>
    </w:p>
    <w:p>
      <w:pPr>
        <w:ind w:left="420"/>
      </w:pPr>
      <w:r>
        <w:t xml:space="preserve">bis zum Betrag von 100.000.000 Deutsche Mark</w:t>
      </w:r>
    </w:p>
    <w:p>
      <w:r>
        <w:t xml:space="preserve">mit dem Inkrafttreten dieses Gesetzes verfügt werden.</w:t>
      </w:r>
    </w:p>
    <w:p>
      <w:r>
        <w:rPr>
          <w:color w:val="555555"/>
          <w:sz w:val="17"/>
        </w:rPr>
        <w:t xml:space="preserve">Zitiervorschlag: § 4 KredFinG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https://recht.nulegal.eu/gesetze/KredFinG%201967/4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