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KredFinG 1967</w:t>
      </w:r>
    </w:p>
    <w:p>
      <w:r>
        <w:rPr>
          <w:color w:val="555555"/>
          <w:sz w:val="18"/>
        </w:rPr>
        <w:t xml:space="preserve">Kreditfinanzierungsgesetz 1967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Investitionsmaßnahmen nach § 2 sind in den außerordentlichen Haushalt des Entwurfs des Haushaltsplans für das Rechnungsjahr 1967 zu übernehmen.</w:t>
      </w:r>
    </w:p>
    <w:p>
      <w:r>
        <w:rPr>
          <w:color w:val="555555"/>
          <w:sz w:val="17"/>
        </w:rPr>
        <w:t xml:space="preserve">Zitiervorschlag: § 3 KredFinG 1967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https://recht.nulegal.eu/gesetze/KredFinG%201967/3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