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KredFinG 1967</w:t>
      </w:r>
    </w:p>
    <w:p>
      <w:r>
        <w:rPr>
          <w:color w:val="555555"/>
          <w:sz w:val="18"/>
        </w:rPr>
        <w:t xml:space="preserve">Kreditfinanzierungsgesetz 1967</w:t>
      </w:r>
    </w:p>
    <w:p>
      <w:r>
        <w:rPr>
          <w:color w:val="555555"/>
          <w:sz w:val="18"/>
        </w:rPr>
        <w:t xml:space="preserve">Stand: 10.06.2019 (konsolidierte Textfassung, kein amtliches Inkrafttretensdatum)</w:t>
      </w:r>
    </w:p>
    <w:p>
      <w:r>
        <w:t xml:space="preserve">(1) Der Bundesminister der Finanzen wird ermächtigt, zur Leistung von Investitionsausgaben zum Zwecke einer Belebung der Investitionstätigkeit und der Sicherung eines stetigen Wirtschaftswachstums im Rechnungsjahr 1967 Geldmittel im Wege des Kredits zu beschaffen, deren Höhe den Betrag von 2.500.000.000 Deutsche Mark nicht überschreiten darf.</w:t>
      </w:r>
    </w:p>
    <w:p>
      <w:r>
        <w:t xml:space="preserve">(2) Im Rahmen der nach Absatz 1 vorgesehenen Kredite können zur Durchführung zusätzlicher Investitionsmaßnahmen Darlehen gewährt und Darlehensverpflichtungen eingegangen werden.</w:t>
      </w:r>
    </w:p>
    <w:p>
      <w:r>
        <w:rPr>
          <w:color w:val="555555"/>
          <w:sz w:val="17"/>
        </w:rPr>
        <w:t xml:space="preserve">Zitiervorschlag: § 1 KredFinG 1967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https://recht.nulegal.eu/gesetze/KredFinG%201967/1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