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KredAnstWiAWPHEV</w:t>
      </w:r>
    </w:p>
    <w:p>
      <w:r>
        <w:rPr>
          <w:color w:val="555555"/>
          <w:sz w:val="18"/>
        </w:rPr>
        <w:t xml:space="preserve">EdW-Beitragsverordnung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3 Satz 1 und 2 des Einlagensicherungs- und Anlegerentschädigungsgesetzes vom 16. Juli 1998 (BGBl. I S. 1842) verordnet das Bundesministerium der Finanzen nach Anhörung der Entschädigungseinrichtung für Institute nach § 6 Abs. 1 Satz 2 Nr. 3 des Einlagensicherungs- und Anlegerentschädigungsgesetzes bei der Kreditanstalt für Wiederaufbau:</w:t>
      </w:r>
    </w:p>
    <w:p>
      <w:r>
        <w:rPr>
          <w:color w:val="555555"/>
          <w:sz w:val="17"/>
        </w:rPr>
        <w:t xml:space="preserve">Zitiervorschlag: Eingangsformel KredAnstWiAWPHEV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https://recht.nulegal.eu/gesetze/KredAnstWiAWPHEV/eingangsformel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