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KredAnstWiAWPHEV — Inkrafttreten</w:t>
      </w:r>
    </w:p>
    <w:p>
      <w:r>
        <w:rPr>
          <w:color w:val="555555"/>
          <w:sz w:val="18"/>
        </w:rPr>
        <w:t xml:space="preserve">EdW-Beitragsverordnung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8 KredAnstWiAWPHEV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https://recht.nulegal.eu/gesetze/KredAnstWiAWPHEV/8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