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7e KredAnstWiAWPHEV — Übergangsvorschriften zur Achten Verordnung zur Änderung der EdW-Beitragsverordnung</w:t>
      </w:r>
    </w:p>
    <w:p>
      <w:r>
        <w:rPr>
          <w:color w:val="555555"/>
          <w:sz w:val="18"/>
        </w:rPr>
        <w:t xml:space="preserve">EdW-Beitragsverordnung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1, 2 und 2a in der ab dem 31. August 2018 geltenden Fassung sind erstmals auf das am 30. September 2018 endende Abrechnungsjahr anzuwenden.</w:t>
      </w:r>
    </w:p>
    <w:p>
      <w:r>
        <w:rPr>
          <w:color w:val="555555"/>
          <w:sz w:val="17"/>
        </w:rPr>
        <w:t xml:space="preserve">Zitiervorschlag: § 7e KredAnstWiAWPHEV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https://recht.nulegal.eu/gesetze/KredAnstWiAWPHEV/7e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