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KredAnstWiAWPHEV — Bestätigung durch Prüfer</w:t>
      </w:r>
    </w:p>
    <w:p>
      <w:r>
        <w:rPr>
          <w:color w:val="555555"/>
          <w:sz w:val="18"/>
        </w:rPr>
        <w:t xml:space="preserve">EdW-Beitragsverordnung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Bei Instituten, deren Bilanzsumme im letzten Geschäftsjahr 150 Millionen Euro nicht übersteigt, können die Bestätigungen nach § 2 Absatz 2 Satz 5 und Absatz 4, § 2a Absatz 2 Satz 3, § 2b Satz 2 sowie § 2c Absatz 1 Satz 4 und § 5b auch durch vereidigte Buchprüfer oder Buchprüfungsgesellschaften vorgenommen werden. Diese Bestätigungen können auch von einem Steuerberater erteilt werden, wenn</w:t>
      </w:r>
    </w:p>
    <w:p>
      <w:pPr>
        <w:ind w:left="420"/>
      </w:pPr>
      <w:r>
        <w:t xml:space="preserve">1. ein Institut von der Bundesanstalt von den Pflichten zur Einreichung eines Prüfungsberichts befreit wurde oder</w:t>
      </w:r>
    </w:p>
    <w:p>
      <w:pPr>
        <w:ind w:left="420"/>
      </w:pPr>
      <w:r>
        <w:t xml:space="preserve">2. ein Institut aufgrund der Rückgabe, der Aufhebung oder des Erlöschens der Erlaubnis nach § 35 des Kreditwesengesetzes, § 39 des Kapitalanlagegesetzbuchs oder § 19 des Wertpapierinstitutsgesetzes nicht mehr der Aufsicht der Bundesanstalt nach dem Kreditwesengesetz oder dem Kapitalanlagegesetzbuch unterliegt.</w:t>
      </w:r>
    </w:p>
    <w:p>
      <w:r>
        <w:rPr>
          <w:color w:val="555555"/>
          <w:sz w:val="17"/>
        </w:rPr>
        <w:t xml:space="preserve">Zitiervorschlag: § 6 KredAnstWiAWPHEV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https://recht.nulegal.eu/gesetze/KredAnstWiAWPHEV/6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