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KredAnstWiAWPHEV — Einmalige Zahlung</w:t>
      </w:r>
    </w:p>
    <w:p>
      <w:r>
        <w:rPr>
          <w:color w:val="555555"/>
          <w:sz w:val="18"/>
        </w:rPr>
        <w:t xml:space="preserve">EdW-Beitragsverordnung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Institute, die der Entschädigungseinrichtung nach dem 18. Juli 2013 neu zugeordnet werden, haben zusätzlich zum Jahresbeitrag eine einmalige Zahlung zu leisten. Die Höhe der einmaligen Zahlung entspricht dem nach den §§ 1 bis 2d und 4 ermittelten Jahresbeitrag. Bei Instituten, die keinen Jahresbeitrag zu leisten haben, gilt der Mindestbeitrag nach § 4 als einmalige Zahlung.</w:t>
      </w:r>
    </w:p>
    <w:p>
      <w:r>
        <w:t xml:space="preserve">(2) Mit der Zuordnung des Instituts zur Entschädigungseinrichtung wird zunächst der Mindestbeitrag nach § 4 erhoben. Dieser Mindestbeitrag wird sodann auf die einmalige Zahlung nach Absatz 1 angerechnet. Er ist Berechnungsgrundlage eines eventuellen Sonderbeitrags oder einer eventuellen Sonderzahlung nach § 8 Absatz 7 Satz 2 des Anlegerentschädigungsgesetzes, falls noch kein Jahresbeitrag festgesetzt wurde.</w:t>
      </w:r>
    </w:p>
    <w:p>
      <w:r>
        <w:t xml:space="preserve">(3) Die einmalige Zahlung wird zusammen mit dem ersten Jahresbeitrag erhoben. Sie wird mit Bekanntgabe des Bescheides über die einmalige Zahlung fällig.</w:t>
      </w:r>
    </w:p>
    <w:p>
      <w:r>
        <w:rPr>
          <w:color w:val="555555"/>
          <w:sz w:val="17"/>
        </w:rPr>
        <w:t xml:space="preserve">Zitiervorschlag: § 3 KredAnstWiAWPHEV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https://recht.nulegal.eu/gesetze/KredAnstWiAWPHEV/3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