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KredAnstWiAG — Mittelbeschaffung</w:t>
      </w:r>
    </w:p>
    <w:p>
      <w:r>
        <w:rPr>
          <w:color w:val="555555"/>
          <w:sz w:val="18"/>
        </w:rPr>
        <w:t xml:space="preserve">Gesetz über die Kreditanstalt für Wiederaufbau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Zur Beschaffung der erforderlichen Mittel kann die Anstalt insbesondere Schuldverschreibungen ausgeben und Darlehen aufnehmen.</w:t>
      </w:r>
    </w:p>
    <w:p>
      <w:r>
        <w:t xml:space="preserve">(2) Die kurzfristigen Verbindlichkeiten der Anstalt dürfen zehn vom Hundert der mittel- und langfristigen Verbindlichkeiten nicht übersteigen.</w:t>
      </w:r>
    </w:p>
    <w:p>
      <w:r>
        <w:t xml:space="preserve">(3) Die von der Anstalt ausgegebenen, auf inländische Währung lautenden Schuldverschreibungen sind zur Anlegung von Mündelgeld geeignet.</w:t>
      </w:r>
    </w:p>
    <w:p>
      <w:r>
        <w:rPr>
          <w:color w:val="555555"/>
          <w:sz w:val="17"/>
        </w:rPr>
        <w:t xml:space="preserve">Zitiervorschlag: § 4 KredAnstWiAG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https://recht.nulegal.eu/gesetze/KredAnstWiAG/4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