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KredAnstWiAG — Inkrafttreten</w:t>
      </w:r>
    </w:p>
    <w:p>
      <w:r>
        <w:rPr>
          <w:color w:val="555555"/>
          <w:sz w:val="18"/>
        </w:rPr>
        <w:t xml:space="preserve">Gesetz über die Kreditanstalt für Wiederaufbau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tritt mit seiner Verkündung in Kraft.</w:t>
      </w:r>
    </w:p>
    <w:p>
      <w:r>
        <w:rPr>
          <w:color w:val="555555"/>
          <w:sz w:val="17"/>
        </w:rPr>
        <w:t xml:space="preserve">Zitiervorschlag: § 14 KredAnstWiAG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https://recht.nulegal.eu/gesetze/KredAnstWiAG/14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