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KredAnstWiAG — Finanzierungen durch ein rechtlich selbständiges Unternehmen</w:t>
      </w:r>
    </w:p>
    <w:p>
      <w:r>
        <w:rPr>
          <w:color w:val="555555"/>
          <w:sz w:val="18"/>
        </w:rPr>
        <w:t xml:space="preserve">Gesetz über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Finanzierungen gemäß § 2 Abs. 1 Nr. 4 Satz 3 sind spätestens ab dem 1. Januar 2008 von einem rechtlich selbstständigen Unternehmen ohne öffentliche Unterstützung durchzuführen. Zu diesem Zeitpunkt bereits vereinbarte Finanzierungen dürfen in der Anstalt noch abgewickelt werden.</w:t>
      </w:r>
    </w:p>
    <w:p>
      <w:r>
        <w:rPr>
          <w:color w:val="555555"/>
          <w:sz w:val="17"/>
        </w:rPr>
        <w:t xml:space="preserve">Zitiervorschlag: § 12b KredAnstWiAG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