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KredAnstWiAG — Verordnungsermächtigung; Anordnungsbefugnis</w:t>
      </w:r>
    </w:p>
    <w:p>
      <w:r>
        <w:rPr>
          <w:color w:val="555555"/>
          <w:sz w:val="18"/>
        </w:rPr>
        <w:t xml:space="preserve">Gesetz über die Kreditanstalt für Wiederaufbau</w:t>
      </w:r>
    </w:p>
    <w:p>
      <w:r>
        <w:rPr>
          <w:color w:val="555555"/>
          <w:sz w:val="18"/>
        </w:rPr>
        <w:t xml:space="preserve">Stand: 10.06.2019 (konsolidierte Textfassung, kein amtliches Inkrafttretensdatum)</w:t>
      </w:r>
    </w:p>
    <w:p>
      <w:r>
        <w:t xml:space="preserve">(1) Das Bundesministerium der Finanzen wird ermächtigt, im Benehmen mit dem Bundesministerium für Wirtschaft und Energie durch Rechtsverordnung, die nicht der Zustimmung des Bundesrates bedarf, zu bestimmen, dass die folgenden nicht bereits für die Anstalt geltenden bankaufsichtsrechtlichen Vorschriften zur Gewährleistung der Durchführung eines ordnungsgemäßen Geschäftsbetriebs der Anstalt auf die Anstalt und die zu bildende Institutsgruppe, Finanzholding-Gruppe oder gemischte Finanzholding-Gruppe ganz oder teilweise entsprechend anzuwenden sind:</w:t>
      </w:r>
    </w:p>
    <w:p>
      <w:pPr>
        <w:ind w:left="420"/>
      </w:pPr>
      <w:r>
        <w:t xml:space="preserve">1. das Kreditwesengesetz,</w:t>
      </w:r>
    </w:p>
    <w:p>
      <w:pPr>
        <w:ind w:left="420"/>
      </w:pPr>
      <w:r>
        <w:t xml:space="preserve">2. das Finanzkonglomerateaufsichtsgesetz,</w:t>
      </w:r>
    </w:p>
    <w:p>
      <w:pPr>
        <w:ind w:left="420"/>
      </w:pPr>
      <w:r>
        <w:t xml:space="preserve">3. die zur Durchführung der in den Nummern 1 und 2 genannten Gesetze jeweils erlassenen Rechtsverordnungen und</w:t>
      </w:r>
    </w:p>
    <w:p>
      <w:pPr>
        <w:ind w:left="420"/>
      </w:pPr>
      <w:r>
        <w:t xml:space="preserve">4. die Verordnungen der Europäischen Union.</w:t>
      </w:r>
    </w:p>
    <w:p>
      <w:r>
        <w:t xml:space="preserve">§ 2 Absatz 2 des Kreditwesengesetzes bleibt unberührt. Die Ermächtigung umfasst insbesondere die bankaufsichtsrechtlichen Vorschriften über</w:t>
      </w:r>
    </w:p>
    <w:p>
      <w:pPr>
        <w:ind w:left="420"/>
      </w:pPr>
      <w:r>
        <w:t xml:space="preserve">1. das Handelsbuch,</w:t>
      </w:r>
    </w:p>
    <w:p>
      <w:pPr>
        <w:ind w:left="420"/>
      </w:pPr>
      <w:r>
        <w:t xml:space="preserve">2. die Verbriefungen,</w:t>
      </w:r>
    </w:p>
    <w:p>
      <w:pPr>
        <w:ind w:left="420"/>
      </w:pPr>
      <w:r>
        <w:t xml:space="preserve">3. die Eigenmittel,</w:t>
      </w:r>
    </w:p>
    <w:p>
      <w:pPr>
        <w:ind w:left="420"/>
      </w:pPr>
      <w:r>
        <w:t xml:space="preserve">4. die Konsolidierung,</w:t>
      </w:r>
    </w:p>
    <w:p>
      <w:pPr>
        <w:ind w:left="420"/>
      </w:pPr>
      <w:r>
        <w:t xml:space="preserve">5. die Liquidität,</w:t>
      </w:r>
    </w:p>
    <w:p>
      <w:pPr>
        <w:ind w:left="420"/>
      </w:pPr>
      <w:r>
        <w:t xml:space="preserve">6. die modifizierte bilanzielle Eigenkapitalquote,</w:t>
      </w:r>
    </w:p>
    <w:p>
      <w:pPr>
        <w:ind w:left="420"/>
      </w:pPr>
      <w:r>
        <w:t xml:space="preserve">7. das Kreditgeschäft,</w:t>
      </w:r>
    </w:p>
    <w:p>
      <w:pPr>
        <w:ind w:left="420"/>
      </w:pPr>
      <w:r>
        <w:t xml:space="preserve">8. den bargeldlosen Zahlungsverkehr,</w:t>
      </w:r>
    </w:p>
    <w:p>
      <w:pPr>
        <w:ind w:left="420"/>
      </w:pPr>
      <w:r>
        <w:t xml:space="preserve">9. die Verhinderung von Geldwäsche oder Terrorismusfinanzierung oder die Verhinderung von sonstigen strafbaren Handlungen, die zu einer Gefährdung des Vermögens des Instituts führen können,</w:t>
      </w:r>
    </w:p>
    <w:p>
      <w:pPr>
        <w:ind w:left="420"/>
      </w:pPr>
      <w:r>
        <w:t xml:space="preserve">10. die besonderen, insbesondere die organisatorischen, Pflichten der Institute, der Geschäftsleiter, der Leitungsorgane von Finanzholding-Gesellschaften und gemischten Finanzholding-Gesellschaften sowie der Aufsichts- und Verwaltungsorgane sowie die Anforderungen an diese Personen und an deren Vertreter,</w:t>
      </w:r>
    </w:p>
    <w:p>
      <w:pPr>
        <w:ind w:left="420"/>
      </w:pPr>
      <w:r>
        <w:t xml:space="preserve">11. die Vergütungssysteme der Institute und weiterer gruppenangehöriger Institute für deren Geschäftsleiter sowie für Mitarbeiter und Mitglieder der betreffenden Aufsichts- und Verwaltungsorgane,</w:t>
      </w:r>
    </w:p>
    <w:p>
      <w:pPr>
        <w:ind w:left="420"/>
      </w:pPr>
      <w:r>
        <w:t xml:space="preserve">12. die Prüfung und Prüferbestellung sowie die besonderen Pflichten des Prüfers,</w:t>
      </w:r>
    </w:p>
    <w:p>
      <w:pPr>
        <w:ind w:left="420"/>
      </w:pPr>
      <w:r>
        <w:t xml:space="preserve">13. Finanzkonglomerate.</w:t>
      </w:r>
    </w:p>
    <w:p>
      <w:r>
        <w:t xml:space="preserve">Bei der Bestimmung der entsprechend anzuwendenden bankaufsichtsrechtlichen Vorschriften ist zu berücksichtigen, dass es sich bei der Anstalt um eine Förderbank mit den ihr nach § 2 übertragenen Aufgaben handelt.</w:t>
      </w:r>
    </w:p>
    <w:p>
      <w:r>
        <w:t xml:space="preserve">(2) Durch die Rechtsverordnung nach Absatz 1 kann der Bundesanstalt für Finanzdienstleistungsaufsicht (Bundesanstalt) die Aufsicht über die Einhaltung der bankaufsichtsrechtlichen Vorschriften zugewiesen werden und kann bestimmt werden, dass die Bundesanstalt dabei mit der Deutschen Bundesbank entsprechend § 7 des Kreditwesengesetzes in der jeweils gültigen Fassung zusammenarbeitet.</w:t>
      </w:r>
    </w:p>
    <w:p>
      <w:r>
        <w:t xml:space="preserve">(3) Durch die Rechtsverordnung nach Absatz 1 können zudem Anzeige-, Melde- und Vorlagepflichten der Anstalt, der zu bildenden Institutsgruppe, Finanzholding-Gruppe oder gemischten Finanzholding-Gruppe und der jeweiligen Organmitglieder und Beschäftigten sowie Informations-, Auskunfts- und Prüfungsrechte der Bundesanstalt und der Deutschen Bundesbank geregelt werden.</w:t>
      </w:r>
    </w:p>
    <w:p>
      <w:r>
        <w:t xml:space="preserve">(4) Darüber hinaus können durch die Rechtsverordnung nach Absatz 1 für die bei der Bundesanstalt Beschäftigten und für die im Dienst der Deutschen Bundesbank stehenden Personen Verschwiegenheitspflichten geregelt werden.</w:t>
      </w:r>
    </w:p>
    <w:p>
      <w:r>
        <w:t xml:space="preserve">(5) Die Bundesanstalt und die Deutsche Bundesbank sind vor Erlass der Rechtsverordnung nach Absatz 1 anzuhören.</w:t>
      </w:r>
    </w:p>
    <w:p>
      <w:r>
        <w:t xml:space="preserve">(6) Die Bundesanstalt kann im Rahmen der ihr durch Rechtsverordnung nach Absatz 1 zugewiesenen Aufgaben alle Anordnungen und Maßnahmen, die geeignet und erforderlich sind, um Verstöße gegen bankaufsichtsrechtliche Vorschriften zu unterbinden oder zu beseitigen, treffen gegenüber</w:t>
      </w:r>
    </w:p>
    <w:p>
      <w:pPr>
        <w:ind w:left="420"/>
      </w:pPr>
      <w:r>
        <w:t xml:space="preserve">1. der Anstalt,</w:t>
      </w:r>
    </w:p>
    <w:p>
      <w:pPr>
        <w:ind w:left="420"/>
      </w:pPr>
      <w:r>
        <w:t xml:space="preserve">2. den Geschäftsleitern und Verwaltungsräten der Anstalt,</w:t>
      </w:r>
    </w:p>
    <w:p>
      <w:pPr>
        <w:ind w:left="420"/>
      </w:pPr>
      <w:r>
        <w:t xml:space="preserve">3. den gruppenangehörigen Unternehmen der zu bildenden Institutsgruppe, Finanzholding-Gruppe oder gemischten Finanzholding-Gruppe und gegebenenfalls dem Konglomerat sowie</w:t>
      </w:r>
    </w:p>
    <w:p>
      <w:pPr>
        <w:ind w:left="420"/>
      </w:pPr>
      <w:r>
        <w:t xml:space="preserve">4. den Organen der gruppenangehörigen Unternehmen nach Nummer 3 und gegenüber den Mitgliedern dieser Organe.</w:t>
      </w:r>
    </w:p>
    <w:p>
      <w:r>
        <w:rPr>
          <w:color w:val="555555"/>
          <w:sz w:val="17"/>
        </w:rPr>
        <w:t xml:space="preserve">Zitiervorschlag: § 12a KredAnstWiAG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