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KredAnstWiAG — Reingewinn</w:t>
      </w:r>
    </w:p>
    <w:p>
      <w:r>
        <w:rPr>
          <w:color w:val="555555"/>
          <w:sz w:val="18"/>
        </w:rPr>
        <w:t xml:space="preserve">Gesetz über die Kreditanstalt für Wiederaufbau</w:t>
      </w:r>
    </w:p>
    <w:p>
      <w:r>
        <w:rPr>
          <w:color w:val="555555"/>
          <w:sz w:val="18"/>
        </w:rPr>
        <w:t xml:space="preserve">Stand: 10.06.2019 (konsolidierte Textfassung, kein amtliches Inkrafttretensdatum)</w:t>
      </w:r>
    </w:p>
    <w:p>
      <w:r>
        <w:t xml:space="preserve">(1) Eine Gewinnausschüttung findet nicht statt.</w:t>
      </w:r>
    </w:p>
    <w:p>
      <w:r>
        <w:t xml:space="preserve">(2) Der sich nach Vornahme der Abschreibungen und Rückstellungen ergebende jährliche Reingewinn ist einer gesetzlichen Rücklage zuzuweisen, deren Höhe auf eine Milliarde achthundertfünfundsiebzig Millionen Euro begrenzt wird. Einzelnen Anteilseignern zuzurechnende weitere Kapital- und gesondert auszuweisende Rücklagen sind bei der Verteilung des Reingewinns zu berücksichtigen.</w:t>
      </w:r>
    </w:p>
    <w:p>
      <w:r>
        <w:t xml:space="preserve">(3) Der weitere Reingewinn ist einer gesondert auszuweisenden Rücklage zuzuweisen.</w:t>
      </w:r>
    </w:p>
    <w:p>
      <w:r>
        <w:rPr>
          <w:color w:val="555555"/>
          <w:sz w:val="17"/>
        </w:rPr>
        <w:t xml:space="preserve">Zitiervorschlag: § 10 KredAnstWiAG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