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KredAnstWiAÜV</w:t>
      </w:r>
    </w:p>
    <w:p>
      <w:r>
        <w:rPr>
          <w:color w:val="555555"/>
          <w:sz w:val="18"/>
        </w:rPr>
        <w:t xml:space="preserve">Verordnung zur Übertragung des Vermögens der Staatsbank Berlin auf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1 des Gesetzes über die Überleitung der Staatsbank Berlin vom 23. September 1990 (BGBl. 1990 II S. 885, 992) in Verbindung mit Artikel 23 Abs. 7 des Einigungsvertrages vom 31. August 1990 (BGBl. 1990 II S. 885, 896) verordnet das Bundesministerium der Finanzen nach Anhörung der Leitungs- und Aufsichtsorgane der Staatsbank Berlin und der Kreditanstalt für Wiederaufbau:</w:t>
      </w:r>
    </w:p>
    <w:p>
      <w:r>
        <w:rPr>
          <w:color w:val="555555"/>
          <w:sz w:val="17"/>
        </w:rPr>
        <w:t xml:space="preserve">Zitiervorschlag: Eingangsformel KredAnstWiAÜV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