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KredAnstWiAÜV</w:t>
      </w:r>
    </w:p>
    <w:p>
      <w:r>
        <w:rPr>
          <w:color w:val="555555"/>
          <w:sz w:val="18"/>
        </w:rPr>
        <w:t xml:space="preserve">Verordnung zur Übertragung des Vermögens der Staatsbank Berlin auf die Kreditanstalt für Wiederaufbau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Ende des Tages nach ihrer Verkündung in Kraft.</w:t>
      </w:r>
    </w:p>
    <w:p>
      <w:r>
        <w:rPr>
          <w:color w:val="555555"/>
          <w:sz w:val="17"/>
        </w:rPr>
        <w:t xml:space="preserve">Zitiervorschlag: § 5 KredAnstWiAÜV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https://recht.nulegal.eu/gesetze/KredAnstWiA%C3%9CV/5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