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KredAAG — Erlöschen von Zinsen aus Aufbaukrediten an private Vermieter</w:t>
      </w:r>
    </w:p>
    <w:p>
      <w:r>
        <w:rPr>
          <w:color w:val="555555"/>
          <w:sz w:val="18"/>
        </w:rPr>
        <w:t xml:space="preserve">Gesetz über die Anpassung von Kreditverträgen an Marktbedingungen sowie über Ausgleichsleistungen an Kreditnehmer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Rückständige Zinsen aus Darlehen, die durch Kreditinstitute der ehemaligen Deutschen Demokratischen Republik an private Vermieter von Wohn- und Gewerberaum vergeben wurden und die durch Aufbaugrundschulden oder Aufbauhypotheken an in dem in Artikel 3 des Einigungsvertrages genannten Gebiet belegenen Grundstücken gesichert sind, sind für den Zeitraum bis zum 30. Juni 1990 erloschen, soweit sie fällig oder durch gesetzliche Vorschriften gestundet wurden.</w:t>
      </w:r>
    </w:p>
    <w:p>
      <w:r>
        <w:t xml:space="preserve">(2) § 8 Abs. 1 Satz 2 und Abs. 2 gelten entsprechend. Sind für rückständige Zinsen weitere Grundpfandrechte eingetragen worden, so erlöschen auch diese.</w:t>
      </w:r>
    </w:p>
    <w:p>
      <w:r>
        <w:t xml:space="preserve">(3) Besteht die Aufbaugrundschuld oder Aufbauhypothek an Hausgrundstücken oder Gebäuden, die sowohl eigen- als auch fremdgenutzt wurden, so erlöschen die in Absatz 1 und 2 genannten Zinsen zu dem Anteil, der dem Anteil der räumlich und zeitlich fremdgenutzten Fläche entspricht.</w:t>
      </w:r>
    </w:p>
    <w:p>
      <w:r>
        <w:rPr>
          <w:color w:val="555555"/>
          <w:sz w:val="17"/>
        </w:rPr>
        <w:t xml:space="preserve">Zitiervorschlag: § 9 KredAAG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