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KraftwPrV — Inkrafttreten</w:t>
      </w:r>
    </w:p>
    <w:p>
      <w:r>
        <w:rPr>
          <w:color w:val="555555"/>
          <w:sz w:val="18"/>
        </w:rPr>
        <w:t xml:space="preserve">Verordnung über die Prüfung zum anerkannten Abschluss Geprüfter Kraftwerker/Geprüfte Kraftwerkerin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Diese Verordnung tritt am Tage nach der Verkündung in Kraft.</w:t>
      </w:r>
    </w:p>
    <w:p>
      <w:r>
        <w:rPr>
          <w:color w:val="555555"/>
          <w:sz w:val="17"/>
        </w:rPr>
        <w:t xml:space="preserve">Zitiervorschlag: § 12 KraftwPrV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https://recht.nulegal.eu/gesetze/KraftwPrV/12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