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KraftstoffLBV</w:t>
      </w:r>
    </w:p>
    <w:p>
      <w:r>
        <w:rPr>
          <w:color w:val="555555"/>
          <w:sz w:val="18"/>
        </w:rPr>
        <w:t xml:space="preserve">Kraftstoff-Lieferbeschränkungs-Verordnung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1 und 3 und des § 2 Abs. 1 und 3 in Verbindung mit § 3 Abs. 1 und 3 des Energiesicherungsgesetzes 1975 vom 20. Dezember 1974 (BGBl. I S. 3681), das durch Gesetz vom 19. Dezember 1979 (BGBl. I S. 2305) zuletzt geändert worden ist, verordnet die Bundesregierung mit Zustimmung des Bundesrates:</w:t>
      </w:r>
    </w:p>
    <w:p>
      <w:r>
        <w:rPr>
          <w:color w:val="555555"/>
          <w:sz w:val="17"/>
        </w:rPr>
        <w:t xml:space="preserve">Zitiervorschlag: Eingangsformel KraftstoffLBV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https://recht.nulegal.eu/gesetze/KraftstoffLBV/eingangsformel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