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KraftstoffLBV — Anträge von Gewerbetreibenden, Landwirten, freiberuflich Tätigen sowie für sonstigen beruflichen Bedarf</w:t>
      </w:r>
    </w:p>
    <w:p>
      <w:r>
        <w:rPr>
          <w:color w:val="555555"/>
          <w:sz w:val="18"/>
        </w:rPr>
        <w:t xml:space="preserve">Kraftstoff-Lieferbeschränkungs-Verordnung</w:t>
      </w:r>
    </w:p>
    <w:p>
      <w:r>
        <w:rPr>
          <w:color w:val="555555"/>
          <w:sz w:val="18"/>
        </w:rPr>
        <w:t xml:space="preserve">Stand: 10.06.2019 (konsolidierte Textfassung, kein amtliches Inkrafttretensdatum)</w:t>
      </w:r>
    </w:p>
    <w:p>
      <w:r>
        <w:t xml:space="preserve">(1) Gewerbetreibende, Landwirte, freiberuflich oder sonst selbständig Tätige sowie juristische Personen oder sonstige Vereinigungen des privaten Rechts haben Bezugscheine für ihren gesamten zur Ausübung ihrer gewerblichen, landwirtschaftlichen oder beruflichen Tätigkeiten erforderlichen Kraftstoffbedarf auf Vordrucken nach dem Muster der Anlage 2 zu beantragen. Sie haben die Vordrucke auch zu verwenden, wenn sie Bezugscheine für Fahrten zwischen Wohnung und Betriebstätte beantragen. Die Voraussetzungen für eine Zuteilung sind durch die im Vordruck vorgesehenen Bestätigungen nachzuweisen. Sind solche Bestätigungen nicht vorgesehen oder können sie nicht erlangt werden, so sind die Voraussetzungen glaubhaft zu machen.</w:t>
      </w:r>
    </w:p>
    <w:p>
      <w:r>
        <w:t xml:space="preserve">(2) Ist Halter der Fahrzeuge oder Betreiber der Maschinen oder Motoren ein gewerbliches oder landwirtschaftliches Unternehmen mit mehreren Niederlassungen, so ist die Hauptniederlassung antragsberechtigt. Abweichend davon ist der Antrag von der Zweigniederlassung zu stellen, wenn diese im Handelsregister, in der Handwerksrolle oder im Verzeichnis der handwerksähnlichen Gewerbe eingetragen ist und die Fahrzeuge auf sie zugelassen sind oder die Maschinen oder Motoren von ihr betrieben werden. Entsprechendes gilt für im Handelsregister eingetragene Zweigniederlassungen der Gesellschaften der freien Berufe.</w:t>
      </w:r>
    </w:p>
    <w:p>
      <w:r>
        <w:rPr>
          <w:color w:val="555555"/>
          <w:sz w:val="17"/>
        </w:rPr>
        <w:t xml:space="preserve">Zitiervorschlag: § 8 KraftstoffLBV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https://recht.nulegal.eu/gesetze/KraftstoffLBV/8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