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KraftstoffLBV — Inkrafttreten</w:t>
      </w:r>
    </w:p>
    <w:p>
      <w:r>
        <w:rPr>
          <w:color w:val="555555"/>
          <w:sz w:val="18"/>
        </w:rPr>
        <w:t xml:space="preserve">Kraftstoff-Lieferbeschränkungs-Verordnung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Diese Verordnung tritt am Tage nach der Verkündung in Kraft.</w:t>
      </w:r>
    </w:p>
    <w:p>
      <w:r>
        <w:t xml:space="preserve">(2) Voraussetzung für die Anwendung dieser Verordnung ist</w:t>
      </w:r>
    </w:p>
    <w:p>
      <w:pPr>
        <w:ind w:left="420"/>
      </w:pPr>
      <w:r>
        <w:t xml:space="preserve">1. die Feststellung der Bundesregierung, daß die Energieversorgung im Sinne des § 1 Abs. 1 oder § 2 Abs. 3 des Energiesicherungsgesetzes 1975 gefährdet oder gestört ist,</w:t>
      </w:r>
    </w:p>
    <w:p>
      <w:pPr>
        <w:ind w:left="420"/>
      </w:pPr>
      <w:r>
        <w:t xml:space="preserve">2. der Erlaß einer Verordnung nach dem Energiesicherungsgesetz 1975, die diese Verordnung ergänzt.</w:t>
      </w:r>
    </w:p>
    <w:p>
      <w:r>
        <w:rPr>
          <w:color w:val="555555"/>
          <w:sz w:val="17"/>
        </w:rPr>
        <w:t xml:space="preserve">Zitiervorschlag: § 22 KraftstoffLBV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https://recht.nulegal.eu/gesetze/KraftstoffLBV/22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