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KraftstoffLBV — Ordnungswidrigkeiten</w:t>
      </w:r>
    </w:p>
    <w:p>
      <w:r>
        <w:rPr>
          <w:color w:val="555555"/>
          <w:sz w:val="18"/>
        </w:rPr>
        <w:t xml:space="preserve">Kraftstoff-Lieferbeschränkungs-Verordnung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Ordnungswidrig im Sinne des § 15 Abs. 1 Nr. 1 des Energiesicherungsgesetzes 1975 handelt, wer vorsätzlich oder fahrlässig</w:t>
      </w:r>
    </w:p>
    <w:p>
      <w:pPr>
        <w:ind w:left="420"/>
      </w:pPr>
      <w:r>
        <w:t xml:space="preserve">1. entgegen § 1 Abs. 1 oder 2 oder § 19 Abs. 1 oder 2 Satz 2 Kraftstoff liefert oder bezieht,</w:t>
      </w:r>
    </w:p>
    <w:p>
      <w:pPr>
        <w:ind w:left="420"/>
      </w:pPr>
      <w:r>
        <w:t xml:space="preserve">2. in einer Quittung nach § 1 Abs. 2, in einem Antrag nach den §§ 7, 8, 15 Satz 1 oder § 16 Abs. 3, in einem Nachweis nach § 11 Abs. 3 oder bei der Ablieferung von Bezugscheinen nach § 18 Abs. 1 unrichtige Angaben macht,</w:t>
      </w:r>
    </w:p>
    <w:p>
      <w:pPr>
        <w:ind w:left="420"/>
      </w:pPr>
      <w:r>
        <w:t xml:space="preserve">3. entgegen § 10 Abs. 2 Satz 1 eine Veränderung nicht unverzüglich mitteilt,</w:t>
      </w:r>
    </w:p>
    <w:p>
      <w:pPr>
        <w:ind w:left="420"/>
      </w:pPr>
      <w:r>
        <w:t xml:space="preserve">4. Bezugscheine über eine Grundmenge nach § 12 Abs. 1 für dasselbe Fahrzeug und dieselbe Versorgungsperiode mehrmals entgegennimmt,</w:t>
      </w:r>
    </w:p>
    <w:p>
      <w:pPr>
        <w:ind w:left="420"/>
      </w:pPr>
      <w:r>
        <w:t xml:space="preserve">5. entgegen § 17 Kraftstoff nicht liefert,</w:t>
      </w:r>
    </w:p>
    <w:p>
      <w:pPr>
        <w:ind w:left="420"/>
      </w:pPr>
      <w:r>
        <w:t xml:space="preserve">6. entgegen § 18 Abs. 1 einen Bezugschein nicht abliefert,</w:t>
      </w:r>
    </w:p>
    <w:p>
      <w:pPr>
        <w:ind w:left="420"/>
      </w:pPr>
      <w:r>
        <w:t xml:space="preserve">7. entgegen § 19 Abs. 3 Satz 2 einen Berechtigungsschein oder eine Quittung nicht aufbewahrt.</w:t>
      </w:r>
    </w:p>
    <w:p>
      <w:r>
        <w:rPr>
          <w:color w:val="555555"/>
          <w:sz w:val="17"/>
        </w:rPr>
        <w:t xml:space="preserve">Zitiervorschlag: § 20 KraftstoffLBV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https://recht.nulegal.eu/gesetze/KraftstoffLBV/20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