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KraftstoffLBV — Beginn der Liefer- und Bezugsbeschränkungen</w:t>
      </w:r>
    </w:p>
    <w:p>
      <w:r>
        <w:rPr>
          <w:color w:val="555555"/>
          <w:sz w:val="18"/>
        </w:rPr>
        <w:t xml:space="preserve">Kraftstoff-Lieferbeschränkungs-Verordnung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Beginn der Liefer- und Bezugsbeschränkungen wird durch Verordnung bestimmt. Er kann für Benzin und Dieselkraftstoff unterschiedlich sein.</w:t>
      </w:r>
    </w:p>
    <w:p>
      <w:r>
        <w:rPr>
          <w:color w:val="555555"/>
          <w:sz w:val="17"/>
        </w:rPr>
        <w:t xml:space="preserve">Zitiervorschlag: § 2 KraftstoffLBV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https://recht.nulegal.eu/gesetze/KraftstoffLBV/2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