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KraftstoffLBV — Ablieferung von Bezugscheinen</w:t>
      </w:r>
    </w:p>
    <w:p>
      <w:r>
        <w:rPr>
          <w:color w:val="555555"/>
          <w:sz w:val="18"/>
        </w:rPr>
        <w:t xml:space="preserve">Kraftstoff-Lieferbeschränkungs-Verordnung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Kraftstoffhändler haben die Bezugscheine unter Angabe der sich insgesamt daraus ergebenden Kraftstoffmenge sortiert und durch Abstempelung entwertet bei den zuständigen Stellen abzuliefern.</w:t>
      </w:r>
    </w:p>
    <w:p>
      <w:r>
        <w:t xml:space="preserve">(2) Diese stellen den Kraftstoffhändlern einen Berechtigungsschein über die Kraftstoffmenge aus, die sich aus den abgelieferten Bezugscheinen ergibt.</w:t>
      </w:r>
    </w:p>
    <w:p>
      <w:r>
        <w:rPr>
          <w:color w:val="555555"/>
          <w:sz w:val="17"/>
        </w:rPr>
        <w:t xml:space="preserve">Zitiervorschlag: § 18 KraftstoffLBV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https://recht.nulegal.eu/gesetze/KraftstoffLBV/18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