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KraftstoffLBV — Ausgabe von Bezugscheinen über die Grundmenge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Bezugscheine über die Grundmenge werden ausgegeben</w:t>
      </w:r>
    </w:p>
    <w:p>
      <w:pPr>
        <w:ind w:left="420"/>
      </w:pPr>
      <w:r>
        <w:t xml:space="preserve">1. gegen Vorlage des Fahrzeugscheins oder, wenn ein solcher nicht erteilt wird, des nach § 18 Abs. 5 und 6 der Straßenverkehrs-Zulassungs-Ordnung erforderlichen Nachweises der Betriebserlaubnis und</w:t>
      </w:r>
    </w:p>
    <w:p>
      <w:pPr>
        <w:ind w:left="420"/>
      </w:pPr>
      <w:r>
        <w:t xml:space="preserve">2. gegen Empfangsbestätigung.</w:t>
      </w:r>
    </w:p>
    <w:p>
      <w:r>
        <w:rPr>
          <w:color w:val="555555"/>
          <w:sz w:val="17"/>
        </w:rPr>
        <w:t xml:space="preserve">Zitiervorschlag: § 13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